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32D8A" w14:textId="77777777" w:rsidR="00A2533A" w:rsidRPr="00FB4D8D" w:rsidRDefault="00AD1A15" w:rsidP="00375A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FB4D8D">
        <w:rPr>
          <w:rFonts w:ascii="Times New Roman" w:eastAsia="Times New Roman" w:hAnsi="Times New Roman"/>
          <w:lang w:val="pl-PL" w:eastAsia="pl-PL"/>
        </w:rPr>
        <w:t>Załącznik B</w:t>
      </w:r>
      <w:r w:rsidR="00375A47" w:rsidRPr="00FB4D8D">
        <w:rPr>
          <w:rFonts w:ascii="Times New Roman" w:eastAsia="Times New Roman" w:hAnsi="Times New Roman"/>
          <w:lang w:val="pl-PL" w:eastAsia="pl-PL"/>
        </w:rPr>
        <w:t>.135.</w:t>
      </w:r>
    </w:p>
    <w:p w14:paraId="1F86EF10" w14:textId="77777777" w:rsidR="00A2533A" w:rsidRPr="00FB4D8D" w:rsidRDefault="00A2533A" w:rsidP="00375A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168DE9E5" w14:textId="6F24033E" w:rsidR="00B63A7E" w:rsidRPr="00FB4D8D" w:rsidRDefault="00AB3992" w:rsidP="00464E37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bookmarkStart w:id="0" w:name="_Hlk106006085"/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BD2FA1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57CB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PACJENTÓW Z </w:t>
      </w:r>
      <w:r w:rsidR="00BD286B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CHOROB</w:t>
      </w:r>
      <w:r w:rsidR="00A57CB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Ą</w:t>
      </w:r>
      <w:r w:rsidR="00BD286B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ŚRÓDMIĄŻSZOW</w:t>
      </w:r>
      <w:r w:rsidR="00A57CB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Ą</w:t>
      </w:r>
      <w:r w:rsidR="00BD286B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PŁUC</w:t>
      </w:r>
      <w:r w:rsidR="0076009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</w:t>
      </w:r>
      <w:r w:rsidR="00375A47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: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57CB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D86, </w:t>
      </w:r>
      <w:r w:rsidR="00A57CBE" w:rsidRPr="000E29F6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J67.0-J67.9, J84.1, J84.8, J84.9, J99.0, J99.1</w:t>
      </w:r>
      <w:r w:rsidR="00A57CB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, </w:t>
      </w:r>
      <w:r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M34</w:t>
      </w:r>
      <w:r w:rsidR="00B63A7E" w:rsidRPr="00FB4D8D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B63A7E" w:rsidRPr="00FB4D8D" w14:paraId="471E7879" w14:textId="77777777" w:rsidTr="00FB4D8D">
        <w:trPr>
          <w:trHeight w:val="567"/>
          <w:jc w:val="center"/>
        </w:trPr>
        <w:tc>
          <w:tcPr>
            <w:tcW w:w="15390" w:type="dxa"/>
            <w:gridSpan w:val="3"/>
            <w:shd w:val="clear" w:color="auto" w:fill="auto"/>
            <w:vAlign w:val="center"/>
          </w:tcPr>
          <w:bookmarkEnd w:id="0"/>
          <w:p w14:paraId="5D52A8B1" w14:textId="77777777" w:rsidR="00B63A7E" w:rsidRPr="00FB4D8D" w:rsidRDefault="00B63A7E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B02301" w:rsidRPr="002A57B6" w14:paraId="0788167B" w14:textId="77777777" w:rsidTr="00FB4D8D">
        <w:trPr>
          <w:trHeight w:val="567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0A28E" w14:textId="77777777" w:rsidR="00F64DF4" w:rsidRPr="00FB4D8D" w:rsidRDefault="00F64DF4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E69114D" w14:textId="77777777" w:rsidR="00F64DF4" w:rsidRPr="00FB4D8D" w:rsidRDefault="00F64DF4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SCHEMAT DAWKOWANIA LEKU W PROGRAMIE</w:t>
            </w:r>
          </w:p>
        </w:tc>
        <w:tc>
          <w:tcPr>
            <w:tcW w:w="5614" w:type="dxa"/>
            <w:shd w:val="clear" w:color="auto" w:fill="auto"/>
            <w:vAlign w:val="center"/>
          </w:tcPr>
          <w:p w14:paraId="4FC9B095" w14:textId="77777777" w:rsidR="00F64DF4" w:rsidRPr="00FB4D8D" w:rsidRDefault="00F64DF4" w:rsidP="00375A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BADANIA DIAGNOSTYCZNE WYKONYWANE</w:t>
            </w:r>
            <w:r w:rsid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FB4D8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W RAMACH PROGRAMU</w:t>
            </w:r>
          </w:p>
        </w:tc>
      </w:tr>
      <w:tr w:rsidR="00B63A7E" w:rsidRPr="00CA536D" w14:paraId="7A718931" w14:textId="77777777" w:rsidTr="00933168">
        <w:trPr>
          <w:trHeight w:val="3526"/>
          <w:jc w:val="center"/>
        </w:trPr>
        <w:tc>
          <w:tcPr>
            <w:tcW w:w="5665" w:type="dxa"/>
            <w:shd w:val="clear" w:color="auto" w:fill="auto"/>
          </w:tcPr>
          <w:p w14:paraId="0AD311B4" w14:textId="77777777" w:rsidR="00E11D2D" w:rsidRPr="00D53679" w:rsidRDefault="00E11D2D" w:rsidP="00933168">
            <w:pPr>
              <w:spacing w:before="6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W programie finansuje się leczenie </w:t>
            </w:r>
            <w:proofErr w:type="spellStart"/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nintedanibem</w:t>
            </w:r>
            <w:proofErr w:type="spellEnd"/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pacjentów z chorobą śródmiąższową płuc:</w:t>
            </w:r>
          </w:p>
          <w:p w14:paraId="5E5ACF86" w14:textId="2B20AAD3" w:rsidR="00E11D2D" w:rsidRPr="00D53679" w:rsidRDefault="00E11D2D" w:rsidP="00933168">
            <w:pPr>
              <w:pStyle w:val="Akapitzlist"/>
              <w:numPr>
                <w:ilvl w:val="0"/>
                <w:numId w:val="45"/>
              </w:numPr>
              <w:spacing w:before="60" w:after="60"/>
              <w:ind w:hanging="263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przebiegając</w:t>
            </w:r>
            <w:r w:rsidR="00FA683F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ą</w:t>
            </w: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z włóknieniem </w:t>
            </w:r>
            <w:r w:rsidR="00FA683F" w:rsidRPr="002B28A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 fenotypie postępującym </w:t>
            </w: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(PF-ILD),</w:t>
            </w:r>
          </w:p>
          <w:p w14:paraId="5CD83D2A" w14:textId="77777777" w:rsidR="00E11D2D" w:rsidRPr="00D53679" w:rsidRDefault="00E11D2D" w:rsidP="00933168">
            <w:pPr>
              <w:pStyle w:val="Akapitzlist"/>
              <w:numPr>
                <w:ilvl w:val="0"/>
                <w:numId w:val="45"/>
              </w:numPr>
              <w:spacing w:before="60" w:after="60"/>
              <w:ind w:hanging="263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związanej z twardziną układową.</w:t>
            </w:r>
          </w:p>
          <w:p w14:paraId="6EAF6D44" w14:textId="29C76D54" w:rsidR="00E11D2D" w:rsidRPr="00D53679" w:rsidRDefault="00423A0F" w:rsidP="00933168">
            <w:pPr>
              <w:spacing w:before="6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Kwalifikacja świadczeniobiorców do programu przeprowadzana jest przez Zespół Koordynacyjny do Spraw Leczenia Biologicznego w Chorobach Reumatycznych lub Zespół Koordynacyjny do Spraw Leczenia Chorób Śródmiąższowych Płuc, powoływany przez Prezesa Narodowego Funduszu Zdrowia. </w:t>
            </w:r>
          </w:p>
          <w:p w14:paraId="5AFFB0F4" w14:textId="77777777" w:rsidR="00423A0F" w:rsidRDefault="00423A0F" w:rsidP="00933168">
            <w:pPr>
              <w:spacing w:before="6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Ponadto, gdy jest to zaznaczone w opisie programu, udział pacjenta może wymagać uzyskania indywidualnej zgody jednego z Zespołów, o którym mowa powyżej.</w:t>
            </w:r>
          </w:p>
          <w:p w14:paraId="58AA067A" w14:textId="77777777" w:rsidR="00933168" w:rsidRPr="00D53679" w:rsidRDefault="00933168" w:rsidP="00933168">
            <w:pPr>
              <w:spacing w:before="6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1E34662C" w14:textId="77777777" w:rsidR="00E730E9" w:rsidRPr="006513EE" w:rsidRDefault="00E730E9" w:rsidP="00933168">
            <w:pPr>
              <w:pStyle w:val="Akapitzlist"/>
              <w:numPr>
                <w:ilvl w:val="0"/>
                <w:numId w:val="40"/>
              </w:numPr>
              <w:spacing w:before="6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kwalifikacji</w:t>
            </w:r>
          </w:p>
          <w:p w14:paraId="4F69ED64" w14:textId="40C57A12" w:rsidR="003C78F5" w:rsidRPr="00D53679" w:rsidRDefault="00464E37" w:rsidP="00933168">
            <w:pPr>
              <w:spacing w:before="60" w:after="60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Pr="00D5367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la poszczególnych terapii 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300568" w:rsidRPr="00D53679">
              <w:rPr>
                <w:rFonts w:ascii="Times New Roman" w:hAnsi="Times New Roman"/>
                <w:sz w:val="20"/>
                <w:szCs w:val="20"/>
                <w:lang w:val="pl-PL"/>
              </w:rPr>
              <w:t>uszą być spełnione łącznie kryteria ogólne (1.1.) oraz kryteria szczegółowe (1.2.).</w:t>
            </w:r>
          </w:p>
          <w:p w14:paraId="2DC4F7A3" w14:textId="77777777" w:rsidR="00300568" w:rsidRPr="00D53679" w:rsidRDefault="00300568" w:rsidP="00933168">
            <w:pPr>
              <w:pStyle w:val="Akapitzlist"/>
              <w:numPr>
                <w:ilvl w:val="1"/>
                <w:numId w:val="40"/>
              </w:numPr>
              <w:spacing w:before="60" w:after="60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Ogólne kryteria kwalifikacji</w:t>
            </w:r>
            <w:r w:rsidR="003C78F5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14:paraId="1F30D248" w14:textId="79F26E90" w:rsidR="00E730E9" w:rsidRPr="008D2C64" w:rsidRDefault="00E730E9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wiek</w:t>
            </w:r>
            <w:r w:rsidR="003C78F5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972003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18 lat</w:t>
            </w:r>
            <w:r w:rsidR="00827835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i powyżej</w:t>
            </w:r>
            <w:r w:rsidR="0014590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2EFFE681" w14:textId="57759CB5" w:rsidR="00300568" w:rsidRPr="008D2C64" w:rsidRDefault="00300568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lastRenderedPageBreak/>
              <w:t>rozpoznanie choroby śródmiąższowej płuc na podstawie badania tomografii komputerowej wysokiej rozdzielczości (TKWR),</w:t>
            </w:r>
          </w:p>
          <w:p w14:paraId="2A3AAE3E" w14:textId="77777777" w:rsidR="00FC0131" w:rsidRPr="008D2C64" w:rsidRDefault="00FC0131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FVC ≥ 40% wartości należnej,</w:t>
            </w:r>
          </w:p>
          <w:p w14:paraId="283B5006" w14:textId="1F2E8194" w:rsidR="00FC0131" w:rsidRPr="008D2C64" w:rsidRDefault="00FC0131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pojemność dyfuzyjna płuc </w:t>
            </w:r>
            <w:proofErr w:type="spellStart"/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TL</w:t>
            </w:r>
            <w:r w:rsidR="00F2399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co</w:t>
            </w:r>
            <w:proofErr w:type="spellEnd"/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powyżej 30% wartości należnej</w:t>
            </w:r>
            <w:r w:rsidR="00885746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0679C54F" w14:textId="77777777" w:rsidR="002A4C5C" w:rsidRPr="008D2C64" w:rsidRDefault="002A4C5C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adekwatna wydolność narządowa określona na podstawie wyników badań laboratoryjnych umożliwiająca w opinii Zespołu Koordynacyjnego lub lekarza prowadzącego bezpieczne rozpoczęcie terapii</w:t>
            </w:r>
            <w:r w:rsidR="005430F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089313FC" w14:textId="77777777" w:rsidR="002A4C5C" w:rsidRPr="008D2C64" w:rsidRDefault="002A4C5C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nieobecność istotnych schorzeń współistniejących stanowiących przeciwskazanie do terapii stwierdzonych przez Zespół Koordynacyjny lub lekarza prowadzącego w oparciu o aktualną Charakterystykę Produktu Leczniczego (zwana dalej </w:t>
            </w:r>
            <w:proofErr w:type="spellStart"/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ChPL</w:t>
            </w:r>
            <w:proofErr w:type="spellEnd"/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),</w:t>
            </w:r>
          </w:p>
          <w:p w14:paraId="0D726B70" w14:textId="77777777" w:rsidR="00FC0131" w:rsidRPr="008D2C64" w:rsidRDefault="00FC0131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zgoda</w:t>
            </w:r>
            <w:r w:rsidR="00C46415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pacjenta</w:t>
            </w: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na </w:t>
            </w:r>
            <w:r w:rsidR="00C46415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prowadzenie</w:t>
            </w:r>
            <w:r w:rsidR="00CC69C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antykoncepcji</w:t>
            </w: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zgodnie z</w:t>
            </w:r>
            <w:r w:rsidR="00CC69C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aktua</w:t>
            </w:r>
            <w:r w:rsidR="008A1006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l</w:t>
            </w:r>
            <w:r w:rsidR="00CC69C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ną</w:t>
            </w: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Ch</w:t>
            </w:r>
            <w:r w:rsidR="00CC69C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PL</w:t>
            </w:r>
            <w:proofErr w:type="spellEnd"/>
            <w:r w:rsidR="00CC69C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4799C098" w14:textId="22D17C22" w:rsidR="00430AD0" w:rsidRPr="008D2C64" w:rsidRDefault="00CC69CF" w:rsidP="00933168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before="60"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wykluczenie ciąży i okresu karmienia piersią,</w:t>
            </w:r>
          </w:p>
          <w:p w14:paraId="33C0D804" w14:textId="77777777" w:rsidR="00990777" w:rsidRPr="00D53679" w:rsidRDefault="00990777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Ponadto do programu lekowego kwalifikowani są również pacjenci wymagający kontynuacji leczenia, którzy byli leczeni substancj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>ą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czynn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>ą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finansowan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>ą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082BD604" w14:textId="77777777" w:rsidR="00300568" w:rsidRPr="006513EE" w:rsidRDefault="00300568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4BE12A6" w14:textId="77777777" w:rsidR="00300568" w:rsidRPr="00D53679" w:rsidRDefault="00990777" w:rsidP="00933168">
            <w:pPr>
              <w:pStyle w:val="Akapitzlist"/>
              <w:widowControl w:val="0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Szczegółowe kryteria kwalifikacji</w:t>
            </w:r>
            <w:r w:rsidR="003C78F5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14:paraId="5ADE30D0" w14:textId="77777777" w:rsidR="00990777" w:rsidRPr="006513EE" w:rsidRDefault="00990777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1.2.1. Terapia pacjentów z chorobą śródmiąższową płuc związanej z twardziną układową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1903727B" w14:textId="77777777" w:rsidR="00375AE9" w:rsidRPr="008D2C64" w:rsidRDefault="00183F2D" w:rsidP="00933168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rozpoznanie</w:t>
            </w:r>
            <w:r w:rsidR="0053696C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BD286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twardziny układowej (</w:t>
            </w:r>
            <w:proofErr w:type="spellStart"/>
            <w:r w:rsidR="00BD286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SSc</w:t>
            </w:r>
            <w:proofErr w:type="spellEnd"/>
            <w:r w:rsidR="00BD286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) </w:t>
            </w:r>
            <w:r w:rsidR="00375AE9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zgodnie</w:t>
            </w:r>
            <w:r w:rsidR="00FB4D8D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375AE9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z </w:t>
            </w:r>
            <w:r w:rsidR="00BD286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aktualny</w:t>
            </w:r>
            <w:r w:rsidR="00375AE9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mi</w:t>
            </w:r>
            <w:r w:rsidR="00BD286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rekomendacj</w:t>
            </w:r>
            <w:r w:rsidR="00375AE9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ami</w:t>
            </w:r>
            <w:r w:rsidR="00BD286B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EULAR/ACR</w:t>
            </w:r>
            <w:r w:rsidR="0014590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5557A402" w14:textId="77777777" w:rsidR="002D2E55" w:rsidRPr="008D2C64" w:rsidRDefault="00534FCD" w:rsidP="00933168">
            <w:pPr>
              <w:pStyle w:val="Akapitzlist"/>
              <w:numPr>
                <w:ilvl w:val="0"/>
                <w:numId w:val="62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lastRenderedPageBreak/>
              <w:t>d</w:t>
            </w:r>
            <w:r w:rsidR="00183F2D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 terapii </w:t>
            </w:r>
            <w:proofErr w:type="spellStart"/>
            <w:r w:rsidR="00183F2D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nintedanibem</w:t>
            </w:r>
            <w:proofErr w:type="spellEnd"/>
            <w:r w:rsidR="00183F2D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kwalifikują się pacjen</w:t>
            </w:r>
            <w:r w:rsidR="00E85F54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ci</w:t>
            </w:r>
            <w:r w:rsidR="002D2E55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spełniający jedno z poniższych kryteriów</w:t>
            </w:r>
            <w:r w:rsidR="0014590F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a-c</w:t>
            </w:r>
            <w:r w:rsidR="002D2E55" w:rsidRPr="008D2C6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:</w:t>
            </w:r>
          </w:p>
          <w:p w14:paraId="1E3BC6B5" w14:textId="77777777" w:rsidR="00875C86" w:rsidRPr="006513EE" w:rsidRDefault="002D2E55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zmiany włókniste w badaniu </w:t>
            </w:r>
            <w:r w:rsidR="005E6A6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TKWR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zajmują</w:t>
            </w:r>
            <w:r w:rsidR="00FB4D8D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co najmniej 10% </w:t>
            </w:r>
            <w:r w:rsidR="005E6A6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objętości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płuc oraz</w:t>
            </w:r>
            <w:r w:rsidR="00926AF1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75C86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udokumentowano: </w:t>
            </w:r>
          </w:p>
          <w:p w14:paraId="7642C965" w14:textId="70914B0E" w:rsidR="00534FCD" w:rsidRPr="006513EE" w:rsidRDefault="002D2E55" w:rsidP="00933168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spadek wartości FVC o co najmniej 10%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B351801" w14:textId="77777777" w:rsidR="00875C86" w:rsidRPr="006513EE" w:rsidRDefault="002D2E55" w:rsidP="00933168">
            <w:pPr>
              <w:pStyle w:val="Akapitzlist"/>
              <w:autoSpaceDE w:val="0"/>
              <w:autoSpaceDN w:val="0"/>
              <w:adjustRightInd w:val="0"/>
              <w:spacing w:before="60"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</w:p>
          <w:p w14:paraId="3EE6E95B" w14:textId="77777777" w:rsidR="00875C86" w:rsidRPr="006513EE" w:rsidRDefault="002A284C" w:rsidP="00933168">
            <w:pPr>
              <w:pStyle w:val="Akapitzlist"/>
              <w:numPr>
                <w:ilvl w:val="5"/>
                <w:numId w:val="4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spadek wartości FVC o co najmniej 5% i 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spadek wartości </w:t>
            </w:r>
            <w:r w:rsidR="0031135E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T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LCO o co najmniej 15%</w:t>
            </w:r>
            <w:r w:rsidR="00875C86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3B931FCD" w14:textId="77777777" w:rsidR="00534FCD" w:rsidRPr="006513EE" w:rsidRDefault="005C7C5C" w:rsidP="00933168">
            <w:pPr>
              <w:pStyle w:val="Akapitzlist"/>
              <w:autoSpaceDE w:val="0"/>
              <w:autoSpaceDN w:val="0"/>
              <w:adjustRightInd w:val="0"/>
              <w:spacing w:before="60"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pomimo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terapii </w:t>
            </w:r>
            <w:proofErr w:type="spellStart"/>
            <w:r w:rsidR="0053696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my</w:t>
            </w:r>
            <w:r w:rsidR="000E2D9A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53696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ofenolanem</w:t>
            </w:r>
            <w:proofErr w:type="spellEnd"/>
            <w:r w:rsidR="0053696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mofet</w:t>
            </w:r>
            <w:r w:rsidR="00B8381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lu</w:t>
            </w:r>
            <w:proofErr w:type="spellEnd"/>
            <w:r w:rsidR="0053696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53696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cy</w:t>
            </w:r>
            <w:r w:rsidR="00EC272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lofosfamidem</w:t>
            </w:r>
            <w:proofErr w:type="spellEnd"/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, jeśli ich zastosowanie nie jest przeciwwskazane</w:t>
            </w:r>
            <w:r w:rsidR="002F737E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oraz </w:t>
            </w:r>
            <w:r w:rsidR="00604A2E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nie istnieją ograniczenia dotyczące </w:t>
            </w:r>
            <w:r w:rsidR="002B5B26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ich stosowania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z których każdy stosowany był zgodnie </w:t>
            </w:r>
            <w:r w:rsidR="00083EF6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 </w:t>
            </w:r>
            <w:r w:rsidR="002D2E5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obowiązującymi rekomendacjami przez okres co najmniej 6 miesięcy lub krócej w przypadku nietolerancji lub działań niepożądanych</w:t>
            </w:r>
            <w:r w:rsidR="00490140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1637C9DA" w14:textId="77777777" w:rsidR="00DD5EC2" w:rsidRPr="006513EE" w:rsidRDefault="006008A9" w:rsidP="00933168">
            <w:pPr>
              <w:pStyle w:val="Akapitzlist"/>
              <w:autoSpaceDE w:val="0"/>
              <w:autoSpaceDN w:val="0"/>
              <w:adjustRightInd w:val="0"/>
              <w:spacing w:before="60"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75476385" w14:textId="77777777" w:rsidR="00534FCD" w:rsidRPr="006513EE" w:rsidRDefault="00F45AE7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zmiany włókniste w badaniu </w:t>
            </w:r>
            <w:r w:rsidR="005E6A6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TKWR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zajmują</w:t>
            </w:r>
            <w:r w:rsidR="00FB4D8D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co najmniej 10% </w:t>
            </w:r>
            <w:r w:rsidR="005E6A6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objętości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płuc oraz wartość FVC stanowi &lt;</w:t>
            </w:r>
            <w:r w:rsidR="0014590F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70% wartości należnej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EC1CF6A" w14:textId="77777777" w:rsidR="00F45AE7" w:rsidRPr="006513EE" w:rsidRDefault="00F45AE7" w:rsidP="00933168">
            <w:pPr>
              <w:autoSpaceDE w:val="0"/>
              <w:autoSpaceDN w:val="0"/>
              <w:adjustRightInd w:val="0"/>
              <w:spacing w:before="60"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7C3EF723" w14:textId="77777777" w:rsidR="00AA589D" w:rsidRPr="006513EE" w:rsidRDefault="00E85F54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zmiany włókniste w badaniu </w:t>
            </w:r>
            <w:r w:rsidR="0031135E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TKWR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>zajmują</w:t>
            </w:r>
            <w:r w:rsidR="00FB4D8D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co najmniej </w:t>
            </w:r>
            <w:r w:rsidR="00996DE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20% </w:t>
            </w:r>
            <w:r w:rsidR="005E6A6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objętości </w:t>
            </w:r>
            <w:r w:rsidR="00996DE5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płuc</w:t>
            </w:r>
            <w:r w:rsidR="00AA589D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169BED8F" w14:textId="10F94E2D" w:rsidR="00121102" w:rsidRPr="00550F44" w:rsidRDefault="00AA589D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1.2.2.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Terapia pacjentów z chorobą śródmiąższową</w:t>
            </w:r>
            <w:r w:rsidR="00121102"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płuc </w:t>
            </w:r>
            <w:r w:rsidR="00FA683F" w:rsidRPr="00550F44">
              <w:rPr>
                <w:rFonts w:ascii="Times New Roman" w:hAnsi="Times New Roman"/>
                <w:sz w:val="20"/>
                <w:szCs w:val="20"/>
                <w:lang w:val="pl-PL"/>
              </w:rPr>
              <w:t>przebiegają</w:t>
            </w:r>
            <w:r w:rsidR="00474D57"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cą z włóknieniem o fenotypie postępującym </w:t>
            </w:r>
            <w:r w:rsidR="00AC7942"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(PF-ILD)</w:t>
            </w:r>
            <w:r w:rsidR="003C78F5" w:rsidRPr="00550F44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76F53387" w14:textId="77777777" w:rsidR="00140EE6" w:rsidRPr="00550F44" w:rsidRDefault="00140EE6" w:rsidP="009331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55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do terapii </w:t>
            </w:r>
            <w:proofErr w:type="spellStart"/>
            <w:r w:rsidRPr="0055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nintedanibem</w:t>
            </w:r>
            <w:proofErr w:type="spellEnd"/>
            <w:r w:rsidRPr="0055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kwalifikują się pacjenci z rozpoznaniem: </w:t>
            </w:r>
          </w:p>
          <w:p w14:paraId="37C6C52B" w14:textId="77777777" w:rsidR="00296E87" w:rsidRPr="00550F44" w:rsidRDefault="00296E87" w:rsidP="009331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731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układowej choroby tkanki łącznej, w tym reumatoidalnego zapalenia stawów zgodnie z aktualnymi rekomendacjami EULAR/ACR (ustalonym w ośrodkach reumatologicznych) – kwalifikacji dokonuje </w:t>
            </w: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Zespół </w:t>
            </w: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Koordynacyjny do Spraw Leczenia Biologicznego w Chorobach Reumatycznych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</w:p>
          <w:p w14:paraId="5F86D7AA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436" w:firstLine="1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530C74D1" w14:textId="0FF08289" w:rsidR="00296E87" w:rsidRPr="00550F44" w:rsidRDefault="00296E87" w:rsidP="009331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731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przewlekłego zapalenia płuc z nadwrażliwości lub </w:t>
            </w:r>
            <w:proofErr w:type="spellStart"/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sarkoidozy</w:t>
            </w:r>
            <w:proofErr w:type="spellEnd"/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idiopatycznego niespecyficznego śródmiąższowego zapalenia płuc lub niesklasyfikowanego idiopatycznego śródmiąższowego zapalenia płuc lub niesklasyfikowanej śródmiąższowej choroby płuc zgodnie z aktualnymi rekomendacjami (ustalonym w ośrodkach pulmonologicznych) – kwalifikacji dokonuje </w:t>
            </w: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Zespół Koordynacyjny do Spraw Leczenia Chorób Śródmiąższowych Płuc,</w:t>
            </w:r>
          </w:p>
          <w:p w14:paraId="1FEA4A86" w14:textId="77777777" w:rsidR="00296E87" w:rsidRPr="00550F44" w:rsidRDefault="00296E87" w:rsidP="009331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55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Do terapii </w:t>
            </w:r>
            <w:proofErr w:type="spellStart"/>
            <w:r w:rsidRPr="0055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nintedanibem</w:t>
            </w:r>
            <w:proofErr w:type="spellEnd"/>
            <w:r w:rsidRPr="00550F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kwalifikują się pacjenci spełniający jedno z poniższych kryteriów a-c:</w:t>
            </w:r>
          </w:p>
          <w:p w14:paraId="7A39ACED" w14:textId="77777777" w:rsidR="00296E87" w:rsidRPr="00550F44" w:rsidRDefault="00296E87" w:rsidP="0093316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731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zmiany o typie włóknienia w badaniu TKWR zajmują co najmniej 10% objętości płuc oraz udokumentowano w okresie ostatnich 24 m-</w:t>
            </w:r>
            <w:proofErr w:type="spellStart"/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cy</w:t>
            </w:r>
            <w:proofErr w:type="spellEnd"/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11ABED6C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–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spadek wartości FVC o co najmniej 10%</w:t>
            </w:r>
            <w:r w:rsidR="003C78F5" w:rsidRPr="00550F4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</w:p>
          <w:p w14:paraId="0BBFFC50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–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spadek wartości FVC o co najmniej 5% oraz spadek wartości </w:t>
            </w: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TL</w:t>
            </w:r>
            <w:r w:rsidR="003C78F5"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 co najmniej 15%</w:t>
            </w:r>
            <w:r w:rsidR="003C78F5" w:rsidRPr="00550F4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</w:t>
            </w:r>
          </w:p>
          <w:p w14:paraId="5F3F45C1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–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spadek wartości FVC o co najmniej 5% oraz progresję włóknienia płuc w badaniu TKWR</w:t>
            </w:r>
            <w:r w:rsidR="003C78F5" w:rsidRPr="00550F4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</w:t>
            </w:r>
          </w:p>
          <w:p w14:paraId="1963DBE6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–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spadek wartości FVC o co najmniej 5% oraz nasilenie objawów klinicznych</w:t>
            </w:r>
            <w:r w:rsidR="003C78F5" w:rsidRPr="00550F4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</w:p>
          <w:p w14:paraId="26F7D7C7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550F4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–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progresję włóknienia płuc w badaniu TKWR oraz nasilenie objawów klinicznych,</w:t>
            </w:r>
          </w:p>
          <w:p w14:paraId="0D1DC33D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9D7BBC0" w14:textId="77777777" w:rsidR="009362C0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pomimo stosowania leczenia uznawanego za odpowiednie lub rekomendowanego dla danej postaci ILD, jeśli jego zastosowanie nie jest przeciwwskazane oraz nie istnieją ograniczenia dotyczące jego stosowania, które stosowane </w:t>
            </w: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było przez okres co najmniej 3–6 miesięcy lub krócej w przypadku nietolerancji lub działań niepożądanych, </w:t>
            </w:r>
            <w:r w:rsidR="00183691"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w razie braku </w:t>
            </w:r>
            <w:r w:rsidR="00E9664F" w:rsidRPr="00550F44">
              <w:rPr>
                <w:rFonts w:ascii="Times New Roman" w:hAnsi="Times New Roman"/>
                <w:sz w:val="20"/>
                <w:szCs w:val="20"/>
                <w:lang w:val="pl-PL"/>
              </w:rPr>
              <w:t>odpowiedniego lub rekomendowanego leczenia bezpośrednio po stwierdzeniu fenotypu postępującego włóknienia</w:t>
            </w:r>
            <w:r w:rsidR="002E7B41"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183691"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744A7E40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436" w:firstLine="11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68DA64B8" w14:textId="77777777" w:rsidR="009362C0" w:rsidRPr="00550F44" w:rsidRDefault="00296E87" w:rsidP="0093316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731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zmiany o typie włóknienia w badaniu TKWR zajmują co najmniej 10% objętości płuc oraz wartość FVC stanowi &lt; 70% wartości należnej, </w:t>
            </w:r>
          </w:p>
          <w:p w14:paraId="1D56D045" w14:textId="77777777" w:rsidR="00296E87" w:rsidRPr="00550F44" w:rsidRDefault="00296E87" w:rsidP="00933168">
            <w:pPr>
              <w:autoSpaceDE w:val="0"/>
              <w:autoSpaceDN w:val="0"/>
              <w:adjustRightInd w:val="0"/>
              <w:spacing w:before="60" w:after="60"/>
              <w:ind w:left="731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2680B059" w14:textId="77777777" w:rsidR="00296E87" w:rsidRPr="00550F44" w:rsidRDefault="00296E87" w:rsidP="00933168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60"/>
              <w:ind w:left="731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50F44">
              <w:rPr>
                <w:rFonts w:ascii="Times New Roman" w:hAnsi="Times New Roman"/>
                <w:sz w:val="20"/>
                <w:szCs w:val="20"/>
                <w:lang w:val="pl-PL"/>
              </w:rPr>
              <w:t>zmiany o typie włóknienia w badaniu TKWR zajmują co najmniej 20% objętości płuc.</w:t>
            </w:r>
          </w:p>
          <w:p w14:paraId="40C93CAC" w14:textId="77777777" w:rsidR="00534FCD" w:rsidRPr="006513EE" w:rsidRDefault="00534FCD" w:rsidP="00933168">
            <w:pPr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03296E20" w14:textId="77777777" w:rsidR="00E730E9" w:rsidRPr="00D53679" w:rsidRDefault="00E730E9" w:rsidP="0093316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Określenie czasu leczenia w programie</w:t>
            </w:r>
          </w:p>
          <w:p w14:paraId="67727AB8" w14:textId="77777777" w:rsidR="00E87089" w:rsidRPr="006513EE" w:rsidRDefault="00E87089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87089">
              <w:rPr>
                <w:rFonts w:ascii="Times New Roman" w:hAnsi="Times New Roman"/>
                <w:sz w:val="20"/>
                <w:szCs w:val="20"/>
                <w:lang w:val="pl-PL"/>
              </w:rPr>
              <w:t>Leczenie trwa do czasu podjęcia przez Zespół Koordynacyjny lub lekarza prowadzącego decyzji o wyłączeniu świadczeniobiorcy z programu, zgodnie z kryteriami wyłączenia z programu.</w:t>
            </w:r>
          </w:p>
          <w:p w14:paraId="3E2DCD17" w14:textId="3B5299A2" w:rsidR="005343B2" w:rsidRPr="003C78F5" w:rsidRDefault="00E87089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004E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przypadku istotnej czasowej przerwy w leczeniu, schemat monitorowania ulega modyfikacji</w:t>
            </w:r>
            <w:r w:rsidR="00FB4D8D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004E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z uwzględnieniem okresu przerwy w podawaniu leku</w:t>
            </w:r>
            <w:r w:rsidR="003C78F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7E21CC9C" w14:textId="77777777" w:rsidR="005343B2" w:rsidRPr="00D53679" w:rsidRDefault="005343B2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przypadku przerwy w leczeniu wynoszącej 6 miesięcy i więcej, schemat monitorowania (kolumna III pkt 2 podpunkty 1-4) należy ponowić jak w przypadku pacjentów rozpoczynających terapię. </w:t>
            </w:r>
          </w:p>
          <w:p w14:paraId="0C773E63" w14:textId="77777777" w:rsidR="007E0D06" w:rsidRPr="003C78F5" w:rsidRDefault="007E0D06" w:rsidP="00933168">
            <w:pPr>
              <w:spacing w:before="60" w:after="60"/>
              <w:ind w:left="45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</w:p>
          <w:p w14:paraId="55A10998" w14:textId="77777777" w:rsidR="00E730E9" w:rsidRPr="006513EE" w:rsidRDefault="00E730E9" w:rsidP="00933168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 wyłączenia z programu</w:t>
            </w:r>
          </w:p>
          <w:p w14:paraId="1DF9FDD0" w14:textId="59F6103C" w:rsidR="00050774" w:rsidRPr="00933168" w:rsidRDefault="00534FCD" w:rsidP="00933168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bookmarkStart w:id="1" w:name="_Hlk56592167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b</w:t>
            </w:r>
            <w:r w:rsidR="0005077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rak adekwatnej odpowiedzi na leczenie definiowany jako </w:t>
            </w:r>
            <w:r w:rsidR="00E9664F" w:rsidRPr="005C0EC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bez</w:t>
            </w:r>
            <w:r w:rsidR="00050774" w:rsidRPr="005C0EC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względne obniżenie</w:t>
            </w:r>
            <w:r w:rsidR="0005077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FVC o co najmniej 10% w ciągu pierwszych 12 miesięcy (±3 miesiące) leczenia,</w:t>
            </w:r>
            <w:r w:rsidR="00FB4D8D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05077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 następnie po każdych kolejnych 12 miesiącach</w:t>
            </w:r>
            <w:r w:rsidR="00FB4D8D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05077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(±3 miesiące), potwierdzone </w:t>
            </w:r>
            <w:r w:rsidR="0005077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lastRenderedPageBreak/>
              <w:t>w dwóch badaniach spirometrycznych wykonanych w odstępie co najmniej</w:t>
            </w:r>
            <w:r w:rsidR="00FB4D8D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05077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2 tygodni</w:t>
            </w:r>
            <w:bookmarkEnd w:id="1"/>
            <w:r w:rsidR="003C78F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1A8AD621" w14:textId="77777777" w:rsidR="009362C0" w:rsidRPr="00933168" w:rsidRDefault="009362C0" w:rsidP="00933168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wystąpienie toksyczności wymagającej zakończenia leczenia w opinii Zespołu Koordynacyjnego lub lekarza prowadzącego zgodnie z aktualną 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ChPL</w:t>
            </w:r>
            <w:proofErr w:type="spellEnd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5B4560FD" w14:textId="7AD3CBE4" w:rsidR="009362C0" w:rsidRPr="00933168" w:rsidRDefault="009362C0" w:rsidP="00933168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wystąpienie objawów nadwrażliwości na którąkolwiek substancję czynną lub substancję pomocniczą</w:t>
            </w:r>
            <w:r w:rsidR="001644B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0FA6C22C" w14:textId="2A41DD38" w:rsidR="009362C0" w:rsidRPr="00933168" w:rsidRDefault="009362C0" w:rsidP="00933168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wystąpienie chorób lub stanów, które w opinii Zespołu Koordynacyjnego lub lekarza prowadzącego uniemożliwiają dalsze prowadzenie leczenia</w:t>
            </w:r>
            <w:r w:rsidR="004B416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483C53F6" w14:textId="2445F9AA" w:rsidR="00536141" w:rsidRPr="00933168" w:rsidRDefault="0011150B" w:rsidP="00933168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okres ciąży lub karmienia piersią</w:t>
            </w:r>
            <w:r w:rsidR="001644B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06A3A0AD" w14:textId="3E8D5857" w:rsidR="00651447" w:rsidRPr="00536141" w:rsidRDefault="0011150B" w:rsidP="00536141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361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</w:p>
          <w:p w14:paraId="4E57CE69" w14:textId="77777777" w:rsidR="003F3B27" w:rsidRPr="00322C65" w:rsidRDefault="003F3B27" w:rsidP="00933168">
            <w:pPr>
              <w:keepNext/>
              <w:numPr>
                <w:ilvl w:val="0"/>
                <w:numId w:val="40"/>
              </w:numPr>
              <w:suppressAutoHyphens/>
              <w:spacing w:before="60"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</w:pPr>
            <w:r w:rsidRPr="00322C6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  <w:t>Kryteria ponownego włączenia do programu</w:t>
            </w:r>
          </w:p>
          <w:p w14:paraId="19966983" w14:textId="51185636" w:rsidR="003F3B27" w:rsidRPr="00360B72" w:rsidRDefault="00534FCD" w:rsidP="00933168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60B72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3F3B27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acjent, </w:t>
            </w:r>
            <w:r w:rsidR="00C67350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 którego </w:t>
            </w:r>
            <w:r w:rsidR="00712F5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C67350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67350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nintedanib</w:t>
            </w:r>
            <w:r w:rsidR="00712F5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em</w:t>
            </w:r>
            <w:proofErr w:type="spellEnd"/>
            <w:r w:rsidR="00712F5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9C587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zastosowane</w:t>
            </w:r>
            <w:r w:rsidR="00712F5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zgodnie z zapisami programu, zostało wstrzymane</w:t>
            </w:r>
            <w:r w:rsidR="00FB4D8D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12F5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z powodu stabilizacji procesu chorobowego,</w:t>
            </w:r>
            <w:r w:rsidR="00C67350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może być</w:t>
            </w:r>
            <w:r w:rsidR="001A41FA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ponownie włączony do programu </w:t>
            </w:r>
            <w:r w:rsidR="00C67350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bez kwalifikacji</w:t>
            </w:r>
            <w:r w:rsidR="00B33152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3A5A987D" w14:textId="2DB03407" w:rsidR="00637515" w:rsidRPr="00360B72" w:rsidRDefault="00534FCD" w:rsidP="00933168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60B72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3F3B27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o programu może być ponownie włączony pacjent,</w:t>
            </w:r>
            <w:r w:rsidR="00FB4D8D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F3B27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u którego zaprzestano podawania substancji czynnej wymienionej w programie i zastosowanej zgodnie</w:t>
            </w:r>
            <w:r w:rsidR="00FB4D8D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F3B27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z jego treścią z powodu wystąpienia działań niepożądanych, które ustąpiły po odstawieniu leku bądź zastosowanym leczeniu i w opinii lekarza prowadzącego powrót do terapii tą samą substancją czynną ni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e stanowi ryzyka dla pacjenta</w:t>
            </w:r>
            <w:r w:rsidR="005343B2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. Ponowne włączenie pacjenta do leczenia w programie nie wymaga wykonania badań kwalifikacyjnych. Decyzję o ponownym włączeniu podejmuje </w:t>
            </w:r>
            <w:r w:rsidR="00D10E73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Zespół Koordynacyjny lub </w:t>
            </w:r>
            <w:r w:rsidR="005343B2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lekarz prowadzący</w:t>
            </w:r>
            <w:r w:rsidR="00B33152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3E57E0D5" w14:textId="04482FDC" w:rsidR="00FB4D8D" w:rsidRPr="00360B72" w:rsidRDefault="00534FCD" w:rsidP="00933168">
            <w:pPr>
              <w:pStyle w:val="Akapitzlist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/>
              <w:ind w:left="447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60B72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w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uzasadnionych sytuacjach klinicznych, w przypadku zaprzestania podawania </w:t>
            </w:r>
            <w:proofErr w:type="spellStart"/>
            <w:r w:rsidR="006666D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nintedanibu</w:t>
            </w:r>
            <w:proofErr w:type="spellEnd"/>
            <w:r w:rsidR="006666D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powodu 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spełnienia przez pacjenta kryterium braku </w:t>
            </w:r>
            <w:r w:rsidR="00F9605F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adekwatnej odpowiedzi określonego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pkt. </w:t>
            </w:r>
            <w:r w:rsidR="00B33152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.1, jeśli w opinii</w:t>
            </w:r>
            <w:r w:rsidR="006666D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lekarza prowadzącego brak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terapii</w:t>
            </w:r>
            <w:r w:rsidR="00926AF1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666D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nintedanibem</w:t>
            </w:r>
            <w:proofErr w:type="spellEnd"/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może zagrażać zdrowiu i życiu pacjenta</w:t>
            </w:r>
            <w:r w:rsidR="006666D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powodu szybszej progresji choroby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, a jednocześnie brak jest innej refundowanej terapii, jaką pacjent mógłby być skutecznie leczony, lekarz prowadzący może zwrócić się do Zespołu Koordynacyjnego do Spraw Leczenia Biologicznego w Chorobach Reumatycznych</w:t>
            </w:r>
            <w:r w:rsidR="00B33152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Zespołu Koordynacyjnego do Spraw Leczenia Chorób Śródmiąższowych Płuc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</w:t>
            </w:r>
            <w:r w:rsidR="006666D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wyrażenie zgody na ponowne włączenie pacjenta do programu lekowego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. Bez zgod</w:t>
            </w:r>
            <w:r w:rsidR="006666DC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y Zespołu Koordynacyjnego ponowne zastosowanie substancji czynnej, podczas leczenia którą stwierdzono brak adekwatnej odpowiedzi w przeszłości</w:t>
            </w:r>
            <w:r w:rsidR="001A41FA" w:rsidRPr="00360B72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637515" w:rsidRPr="00360B72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jest możliwe.</w:t>
            </w:r>
          </w:p>
        </w:tc>
        <w:tc>
          <w:tcPr>
            <w:tcW w:w="4111" w:type="dxa"/>
            <w:shd w:val="clear" w:color="auto" w:fill="auto"/>
          </w:tcPr>
          <w:p w14:paraId="4C591841" w14:textId="77777777" w:rsidR="006C5224" w:rsidRDefault="00B63A7E" w:rsidP="00933168">
            <w:pPr>
              <w:pStyle w:val="Akapitzlist"/>
              <w:numPr>
                <w:ilvl w:val="0"/>
                <w:numId w:val="43"/>
              </w:numPr>
              <w:spacing w:before="6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513E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 xml:space="preserve">Dawkowanie </w:t>
            </w:r>
          </w:p>
          <w:p w14:paraId="11045D64" w14:textId="77777777" w:rsidR="002443E7" w:rsidRPr="00D53679" w:rsidRDefault="002443E7" w:rsidP="00933168">
            <w:pPr>
              <w:spacing w:before="60" w:after="6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Maksymalna dawka dobowa: </w:t>
            </w:r>
            <w:r w:rsidRPr="00D5367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300 mg</w:t>
            </w:r>
            <w:r w:rsidR="0005407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  <w:p w14:paraId="0B94829E" w14:textId="5379C031" w:rsidR="00B33152" w:rsidRPr="006513EE" w:rsidRDefault="00054071" w:rsidP="0093316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05407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  <w:p w14:paraId="5B63AEA7" w14:textId="7AE9D9B3" w:rsidR="0063257C" w:rsidRPr="006513EE" w:rsidRDefault="00B33152" w:rsidP="0093316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05407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C7942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przypadku pacjentów z chorobą śródmiąż</w:t>
            </w:r>
            <w:r w:rsidR="006B15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</w:t>
            </w:r>
            <w:r w:rsidR="00AC7942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zową płuc związaną z twardziną układową,</w:t>
            </w:r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u których </w:t>
            </w:r>
            <w:proofErr w:type="spellStart"/>
            <w:r w:rsidR="0053696C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my</w:t>
            </w:r>
            <w:r w:rsidR="005F4851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="0053696C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ofenolan</w:t>
            </w:r>
            <w:proofErr w:type="spellEnd"/>
            <w:r w:rsidR="0053696C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mofet</w:t>
            </w:r>
            <w:r w:rsidR="005F4851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</w:t>
            </w:r>
            <w:proofErr w:type="spellEnd"/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jest dobrze tolerowany </w:t>
            </w:r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nie je</w:t>
            </w:r>
            <w:r w:rsidR="00926459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st przeciwwskazany, </w:t>
            </w:r>
            <w:proofErr w:type="spellStart"/>
            <w:r w:rsidR="00926459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nintedanib</w:t>
            </w:r>
            <w:proofErr w:type="spellEnd"/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należy p</w:t>
            </w:r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odawać </w:t>
            </w:r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skojarzeniu</w:t>
            </w:r>
            <w:r w:rsidR="00FB4D8D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 </w:t>
            </w:r>
            <w:proofErr w:type="spellStart"/>
            <w:r w:rsidR="00926459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my</w:t>
            </w:r>
            <w:r w:rsidR="005F4851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="00926459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53696C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fenolanem</w:t>
            </w:r>
            <w:proofErr w:type="spellEnd"/>
            <w:r w:rsidR="0053696C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mofet</w:t>
            </w:r>
            <w:r w:rsidR="005F4851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</w:t>
            </w:r>
            <w:proofErr w:type="spellEnd"/>
            <w:r w:rsidR="005533D6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rekomendowanej dawce</w:t>
            </w:r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. </w:t>
            </w:r>
            <w:proofErr w:type="spellStart"/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</w:t>
            </w:r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5F4851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ofenolan</w:t>
            </w:r>
            <w:proofErr w:type="spellEnd"/>
            <w:r w:rsidR="0053696C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mofet</w:t>
            </w:r>
            <w:r w:rsidR="005F4851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</w:t>
            </w:r>
            <w:proofErr w:type="spellEnd"/>
            <w:r w:rsidR="00BD286B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jeśli </w:t>
            </w:r>
            <w:r w:rsidR="00BD286B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jest dobrze </w:t>
            </w:r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BD286B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olerowany </w:t>
            </w:r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BD286B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nie jest przeciwwskazany,</w:t>
            </w:r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powin</w:t>
            </w:r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ien</w:t>
            </w:r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być kontynuowan</w:t>
            </w:r>
            <w:r w:rsidR="006C5224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y</w:t>
            </w:r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także po wstrzymaniu terapii </w:t>
            </w:r>
            <w:proofErr w:type="spellStart"/>
            <w:r w:rsidR="007C289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nintedanibem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1A3032E8" w14:textId="046F387E" w:rsidR="0063257C" w:rsidRPr="003555CD" w:rsidRDefault="00B33152" w:rsidP="0093316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</w:t>
            </w:r>
            <w:r w:rsidR="0063257C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ecyzja o leczeniu </w:t>
            </w:r>
            <w:proofErr w:type="spellStart"/>
            <w:r w:rsidR="00235E03" w:rsidRPr="000E29F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nintedanibem</w:t>
            </w:r>
            <w:proofErr w:type="spellEnd"/>
            <w:r w:rsidR="00235E03" w:rsidRPr="000E29F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połączeniu </w:t>
            </w:r>
            <w:r w:rsidR="00235E0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 </w:t>
            </w:r>
            <w:r w:rsidR="003D6A68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leczeniem immunosupresyjnym </w:t>
            </w:r>
            <w:r w:rsidR="00AC7942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lub </w:t>
            </w:r>
            <w:r w:rsidR="003D6A68"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lekami cytotoksycznymi lub klasycznymi lekami </w:t>
            </w:r>
            <w:r w:rsidR="003D6A68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modyfikującymi przebieg choroby </w:t>
            </w:r>
            <w:r w:rsidR="003D6A68" w:rsidRPr="005E65B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lub lekami biologicznymi lub innymi lekami będącymi </w:t>
            </w:r>
            <w:r w:rsidR="003D6A68" w:rsidRPr="005E65BC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inhibitorami kinaz</w:t>
            </w:r>
            <w:r w:rsidR="0063257C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 które są wskazane</w:t>
            </w:r>
            <w:r w:rsidR="00FB4D8D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3257C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i wymagane u danego pacjenta z uwagi na </w:t>
            </w:r>
            <w:r w:rsidR="001152CB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układową chorob</w:t>
            </w:r>
            <w:r w:rsidR="003555CD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ę</w:t>
            </w:r>
            <w:r w:rsidR="001152CB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tkanki łącznej, w tym</w:t>
            </w:r>
            <w:r w:rsidR="0063257C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7D642C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twardziny układowej</w:t>
            </w:r>
            <w:r w:rsidR="001152CB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  <w:r w:rsidR="0063257C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zgodnie z rekomendacjami i aktualną wiedzą medyczną należy do lekarza reumatologa prowadzącego leczenie pacjenta z uwzględnieniem korzyści i ryzyka leczenia</w:t>
            </w:r>
            <w:r w:rsidR="00D94F58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3257C"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skojarzonego</w:t>
            </w:r>
            <w:r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461DB9E2" w14:textId="77777777" w:rsidR="001152CB" w:rsidRPr="006513EE" w:rsidRDefault="001152CB" w:rsidP="0093316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555C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Decyzja o leczeniu </w:t>
            </w:r>
            <w:proofErr w:type="spellStart"/>
            <w:r w:rsidRPr="003555CD">
              <w:rPr>
                <w:rFonts w:ascii="Times New Roman" w:hAnsi="Times New Roman"/>
                <w:sz w:val="20"/>
                <w:szCs w:val="20"/>
                <w:lang w:val="pl-PL"/>
              </w:rPr>
              <w:t>nintedanibem</w:t>
            </w:r>
            <w:proofErr w:type="spellEnd"/>
            <w:r w:rsidRPr="003555C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połączeniu z leczeniem immunosupresyjnym </w:t>
            </w:r>
            <w:r w:rsidRPr="003555C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 lekami cytotoksycznymi lub klasycznymi lekami modyfikującymi przebieg choroby lub lekami biologicznymi lub innymi lekami będącymi inhibitorami kinaz</w:t>
            </w:r>
            <w:r w:rsidRPr="003555CD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6513E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które jest wskazane i uznane za odpowiednie u danego pacjenta zgodnie z rekomendacjami lub aktualną wiedzą medyczną z uwagi na chorobę śródmiąższową płuc, należy do lekarza pulmonologa prowadzącego leczenie pacjenta z uwzględnieniem korzyści i ryzyka leczenia skojarzonego.</w:t>
            </w:r>
          </w:p>
          <w:p w14:paraId="7D70F781" w14:textId="0C258F03" w:rsidR="0063257C" w:rsidRPr="006513EE" w:rsidRDefault="00B33152" w:rsidP="00933168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63257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pacjentów, u których leczenie </w:t>
            </w:r>
            <w:proofErr w:type="spellStart"/>
            <w:r w:rsidR="0063257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my</w:t>
            </w:r>
            <w:r w:rsidR="005F4851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63257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ofenolanem</w:t>
            </w:r>
            <w:proofErr w:type="spellEnd"/>
            <w:r w:rsidR="0063257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3257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mofet</w:t>
            </w:r>
            <w:r w:rsidR="005F4851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63257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lu</w:t>
            </w:r>
            <w:proofErr w:type="spellEnd"/>
            <w:r w:rsidR="0063257C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jest dobrze tolerowane lub jest przeciwwskazane oraz leczenie innymi lekami immunosupresyjnymi nie jest wskazane lub jest przeciwwskazane </w:t>
            </w:r>
            <w:r w:rsidR="008F24F8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nie jest dobrze tolerowane, </w:t>
            </w:r>
            <w:proofErr w:type="spellStart"/>
            <w:r w:rsidR="008F24F8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nintedanib</w:t>
            </w:r>
            <w:proofErr w:type="spellEnd"/>
            <w:r w:rsidR="008F24F8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A5BD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zgodnie z decyzją lekarza reumatologa</w:t>
            </w:r>
            <w:r w:rsidR="001152CB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pulmo</w:t>
            </w:r>
            <w:r w:rsidR="008A1006">
              <w:rPr>
                <w:rFonts w:ascii="Times New Roman" w:hAnsi="Times New Roman"/>
                <w:sz w:val="20"/>
                <w:szCs w:val="20"/>
                <w:lang w:val="pl-PL"/>
              </w:rPr>
              <w:t>n</w:t>
            </w:r>
            <w:r w:rsidR="001152CB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ologa</w:t>
            </w:r>
            <w:r w:rsidR="006A5BD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prowadzącego leczenie</w:t>
            </w:r>
            <w:r w:rsidR="00937C96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6A5BD2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F24F8" w:rsidRPr="006513E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może być podawany w </w:t>
            </w:r>
            <w:proofErr w:type="spellStart"/>
            <w:r w:rsidR="008F24F8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monoterapii</w:t>
            </w:r>
            <w:proofErr w:type="spellEnd"/>
            <w:r w:rsidR="008F24F8" w:rsidRPr="006513E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5614" w:type="dxa"/>
            <w:shd w:val="clear" w:color="auto" w:fill="auto"/>
          </w:tcPr>
          <w:p w14:paraId="71D3F8FC" w14:textId="77777777" w:rsidR="00B63A7E" w:rsidRPr="00680096" w:rsidRDefault="00B63A7E" w:rsidP="00933168">
            <w:pPr>
              <w:pStyle w:val="NormalnyWeb"/>
              <w:numPr>
                <w:ilvl w:val="0"/>
                <w:numId w:val="44"/>
              </w:numPr>
              <w:spacing w:before="60" w:beforeAutospacing="0" w:after="60" w:afterAutospacing="0" w:line="276" w:lineRule="auto"/>
              <w:jc w:val="both"/>
              <w:rPr>
                <w:b/>
                <w:sz w:val="20"/>
                <w:szCs w:val="20"/>
              </w:rPr>
            </w:pPr>
            <w:r w:rsidRPr="00680096">
              <w:rPr>
                <w:b/>
                <w:sz w:val="20"/>
                <w:szCs w:val="20"/>
              </w:rPr>
              <w:lastRenderedPageBreak/>
              <w:t>Badania przy kwalifikacji</w:t>
            </w:r>
          </w:p>
          <w:p w14:paraId="6C03D5C1" w14:textId="157D81D7" w:rsidR="00AB3992" w:rsidRPr="00933168" w:rsidRDefault="00054071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wartości 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odczyn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Biernackiego (OB)</w:t>
            </w:r>
            <w:r w:rsidR="00DC53C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(do decyzji lekarza)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3C5A9F51" w14:textId="4B25A6DE" w:rsidR="00AB3992" w:rsidRPr="00933168" w:rsidRDefault="00054071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stężeni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białka C-reaktywnego (CRP)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2B311B8F" w14:textId="40E602FC" w:rsidR="002D5C47" w:rsidRPr="00933168" w:rsidRDefault="00AB3992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morfologia krwi</w:t>
            </w:r>
            <w:r w:rsidR="00E7167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z rozmazem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38C7A4E3" w14:textId="61BD2DE0" w:rsidR="00AB3992" w:rsidRPr="00933168" w:rsidRDefault="00E7167E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</w:t>
            </w:r>
            <w:r w:rsidR="008B39F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stężeni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</w:t>
            </w:r>
            <w:r w:rsidR="008B39F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kreatyniny</w:t>
            </w:r>
            <w:r w:rsidR="001E58F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/GFR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w surowicy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43ECD742" w14:textId="5C66C331" w:rsidR="007B1685" w:rsidRPr="00933168" w:rsidRDefault="00E7167E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stężenia </w:t>
            </w:r>
            <w:r w:rsidR="007B168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kwas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</w:t>
            </w:r>
            <w:r w:rsidR="007B168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moczow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ego</w:t>
            </w:r>
            <w:r w:rsidR="007B168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w surowicy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700AE5A0" w14:textId="279ECA4B" w:rsidR="00AB3992" w:rsidRPr="00933168" w:rsidRDefault="007C752B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aktywności 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aminotransferaz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y</w:t>
            </w:r>
            <w:r w:rsidR="0053696C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asparaginianow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ej</w:t>
            </w:r>
            <w:proofErr w:type="spellEnd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AspAT</w:t>
            </w:r>
            <w:proofErr w:type="spellEnd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6D18257B" w14:textId="28F11AD2" w:rsidR="00AB3992" w:rsidRPr="00933168" w:rsidRDefault="007C752B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aktywności 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aminotransferaz</w:t>
            </w:r>
            <w:r w:rsidR="006B15B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y</w:t>
            </w:r>
            <w:r w:rsidR="0053696C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alaninow</w:t>
            </w:r>
            <w:r w:rsidR="006B15B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ej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AlAT</w:t>
            </w:r>
            <w:proofErr w:type="spellEnd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5262D159" w14:textId="184489C5" w:rsidR="00531D57" w:rsidRPr="00933168" w:rsidRDefault="006B15B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stężenia </w:t>
            </w:r>
            <w:r w:rsidR="00531D57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bilirubin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y</w:t>
            </w:r>
            <w:r w:rsidR="00531D57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w surowicy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4B8F9596" w14:textId="1BF7FBDC" w:rsidR="009D5CB9" w:rsidRPr="00933168" w:rsidRDefault="006B15B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czasu 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kaolinowo-kefalinowego</w:t>
            </w:r>
            <w:proofErr w:type="spellEnd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r w:rsidR="009D5CB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APTT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3D3E4BD4" w14:textId="77777777" w:rsidR="00173B9B" w:rsidRPr="00933168" w:rsidRDefault="008A1006" w:rsidP="00173B9B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czasu 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protrombinowego</w:t>
            </w:r>
            <w:proofErr w:type="spellEnd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(PT) – </w:t>
            </w:r>
            <w:r w:rsidR="00173B9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dotyczy kwalifikacji do leczenia </w:t>
            </w:r>
            <w:proofErr w:type="spellStart"/>
            <w:r w:rsidR="00173B9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SSc</w:t>
            </w:r>
            <w:proofErr w:type="spellEnd"/>
            <w:r w:rsidR="00173B9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-ILD,</w:t>
            </w:r>
          </w:p>
          <w:p w14:paraId="37BEF18C" w14:textId="69BCD0CF" w:rsidR="008A1006" w:rsidRPr="00933168" w:rsidRDefault="008A1006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oznaczenie stężenia NT-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proBNP</w:t>
            </w:r>
            <w:proofErr w:type="spellEnd"/>
            <w:r w:rsidR="00AB722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D0278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(do decyzji lekarza) </w:t>
            </w:r>
            <w:r w:rsidR="00AB722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– dotyczy kwalifikacji do leczenia </w:t>
            </w:r>
            <w:proofErr w:type="spellStart"/>
            <w:r w:rsidR="00AB722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SSc</w:t>
            </w:r>
            <w:proofErr w:type="spellEnd"/>
            <w:r w:rsidR="00AB722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-ILD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3345643F" w14:textId="1385ECFC" w:rsidR="00AB7228" w:rsidRPr="00933168" w:rsidRDefault="00AB722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oznaczenie wskaźnika INR</w:t>
            </w:r>
            <w:r w:rsidR="00B40DA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</w:p>
          <w:p w14:paraId="1CC57793" w14:textId="13803C68" w:rsidR="00B40DA5" w:rsidRPr="00933168" w:rsidRDefault="00AB722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oznaczenie stężenia czynnika reumatoidalnego RF</w:t>
            </w:r>
            <w:r w:rsidR="004E6EF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F367D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– dotyczy kwalifikacji </w:t>
            </w:r>
            <w:r w:rsidR="00FD6B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do leczenia PF-ILD</w:t>
            </w:r>
            <w:r w:rsidR="00B40DA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36CE2956" w14:textId="407AE9D8" w:rsidR="00B40DA5" w:rsidRPr="00933168" w:rsidRDefault="00AB722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miana p/ciał 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aCCP</w:t>
            </w:r>
            <w:proofErr w:type="spellEnd"/>
            <w:r w:rsidR="00B40DA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507DB17F" w14:textId="370EDE3C" w:rsidR="00B40DA5" w:rsidRPr="00933168" w:rsidRDefault="00AB722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lastRenderedPageBreak/>
              <w:t>oznaczenie miana p/ciał c-ANCA i p-ANCA</w:t>
            </w:r>
            <w:r w:rsidR="00B40DA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4BBB87FA" w14:textId="028016B5" w:rsidR="009241EF" w:rsidRPr="00933168" w:rsidRDefault="006B15B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</w:t>
            </w:r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mian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</w:t>
            </w:r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p/ciał przeciwjądrowych (ANA)</w:t>
            </w:r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met. IF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745C6579" w14:textId="780346DA" w:rsidR="009241EF" w:rsidRPr="00933168" w:rsidRDefault="006B15B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</w:t>
            </w:r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profil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</w:t>
            </w:r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ANA</w:t>
            </w:r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obejmując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ego</w:t>
            </w:r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min. </w:t>
            </w:r>
            <w:r w:rsidR="008140E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anty-</w:t>
            </w:r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Scl-70, </w:t>
            </w:r>
            <w:r w:rsidR="008140E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przeciwciała </w:t>
            </w:r>
            <w:proofErr w:type="spellStart"/>
            <w:r w:rsidR="008140E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anty</w:t>
            </w:r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centromer</w:t>
            </w:r>
            <w:r w:rsidR="00D82AD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o</w:t>
            </w:r>
            <w:r w:rsidR="008140E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we</w:t>
            </w:r>
            <w:proofErr w:type="spellEnd"/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i </w:t>
            </w:r>
            <w:r w:rsidR="008140E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przeciwko </w:t>
            </w:r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polimeraz</w:t>
            </w:r>
            <w:r w:rsidR="008140E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ie RNA</w:t>
            </w:r>
            <w:r w:rsidR="00BD286B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III</w:t>
            </w:r>
            <w:r w:rsidR="00081F3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- </w:t>
            </w:r>
            <w:r w:rsidR="0017235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dotyczy kwalifikacji do leczenia </w:t>
            </w:r>
            <w:proofErr w:type="spellStart"/>
            <w:r w:rsidR="0017235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SSc</w:t>
            </w:r>
            <w:proofErr w:type="spellEnd"/>
            <w:r w:rsidR="0017235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-ILD</w:t>
            </w:r>
            <w:r w:rsidR="001723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lub </w:t>
            </w:r>
            <w:r w:rsidR="00FD6B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przy</w:t>
            </w:r>
            <w:r w:rsidR="001723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dodatni</w:t>
            </w:r>
            <w:r w:rsidR="00FD6B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m</w:t>
            </w:r>
            <w:r w:rsidR="001723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mian</w:t>
            </w:r>
            <w:r w:rsidR="00FD6B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ie</w:t>
            </w:r>
            <w:r w:rsidR="0017235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ANA</w:t>
            </w:r>
            <w:r w:rsidR="00FD6B3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00237952" w14:textId="5603E456" w:rsidR="00AB3992" w:rsidRPr="00933168" w:rsidRDefault="00AB3992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test 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Quantiferon</w:t>
            </w:r>
            <w:proofErr w:type="spellEnd"/>
            <w:r w:rsidR="004B189D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- </w:t>
            </w:r>
            <w:r w:rsidR="00E9664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wyłącznie u chorych na układowe choroby tkanki łącznej przyjmujących leki biologiczne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lub immunosupresyjne lub cytotoksyczne lub inne modyfikujące chorobę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(do decyzji lekarza),</w:t>
            </w:r>
          </w:p>
          <w:p w14:paraId="3CD0C1E7" w14:textId="1B7B6479" w:rsidR="00AB3992" w:rsidRPr="00933168" w:rsidRDefault="0003619F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oznaczenie</w:t>
            </w:r>
            <w:r w:rsidR="0053696C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antygenu </w:t>
            </w:r>
            <w:proofErr w:type="spellStart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HBs</w:t>
            </w:r>
            <w:proofErr w:type="spellEnd"/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- </w:t>
            </w:r>
            <w:r w:rsidR="00E9664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wyłącznie u chorych na układowe choroby tkanki łącznej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przyjmujących leki biologiczne lub immunosupresyjne lub cytotoksyczne lub inne modyfikujące chorobę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(do decyzji lekarza),</w:t>
            </w:r>
          </w:p>
          <w:p w14:paraId="62883E64" w14:textId="0C026002" w:rsidR="00F25158" w:rsidRPr="00933168" w:rsidRDefault="0003619F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przeciwciał anty-HCV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- </w:t>
            </w:r>
            <w:r w:rsidR="00E9664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wyłącznie u chorych na układowe choroby tkanki łącznej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przyjmujących leki biologiczne lub immunosupresyjne lub cytotoksyczne lub inne modyfikujące chorobę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(do decyzji lek</w:t>
            </w:r>
            <w:r w:rsidR="00D5367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rza),</w:t>
            </w:r>
          </w:p>
          <w:p w14:paraId="4D5ED083" w14:textId="4B4CD34A" w:rsidR="00AB3992" w:rsidRPr="00933168" w:rsidRDefault="0003619F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oznaczenie </w:t>
            </w:r>
            <w:r w:rsidR="00FB4D8D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antygen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</w:t>
            </w:r>
            <w:r w:rsidR="00FB4D8D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wirusa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HIV (HIV Ag/Ab Combo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 -</w:t>
            </w:r>
            <w:r w:rsidR="00E9664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wyłącznie u chorych na układowe choroby tkanki łącznej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przyjmujących leki biologiczne lub immunosupresyjne lub cytotoksyczne lub inne modyfikujące chorobę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(do decyzji lekarza)</w:t>
            </w:r>
            <w:r w:rsidR="00D5367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49721B9D" w14:textId="43BEAF73" w:rsidR="00BB31C8" w:rsidRPr="00933168" w:rsidRDefault="00BB31C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test ciążowy (</w:t>
            </w:r>
            <w:r w:rsidR="0003619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 kobiet w wieku rozrodczym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399A30B3" w14:textId="055DA639" w:rsidR="00680096" w:rsidRPr="00933168" w:rsidRDefault="00680096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badanie ogólne moczu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(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do decyzji lekarza</w:t>
            </w:r>
            <w:r w:rsidR="00470D5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),</w:t>
            </w:r>
          </w:p>
          <w:p w14:paraId="6B4B149F" w14:textId="77777777" w:rsidR="00AB7228" w:rsidRPr="00933168" w:rsidRDefault="00AB7228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badanie 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kapilaroskopowe</w:t>
            </w:r>
            <w:proofErr w:type="spellEnd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– dotyczy kwalifikacji do leczenia </w:t>
            </w:r>
            <w:proofErr w:type="spellStart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SSc</w:t>
            </w:r>
            <w:proofErr w:type="spellEnd"/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-ILD,</w:t>
            </w:r>
          </w:p>
          <w:p w14:paraId="057E9D36" w14:textId="0F4A7DC2" w:rsidR="00AB3992" w:rsidRPr="00933168" w:rsidRDefault="0003619F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elektrokardiografia (</w:t>
            </w:r>
            <w:r w:rsidR="007B1685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EKG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6561C5A1" w14:textId="6DC32AEF" w:rsidR="0072504D" w:rsidRPr="00933168" w:rsidRDefault="0003619F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ECHO serca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72E7A759" w14:textId="559AE029" w:rsidR="00AB3992" w:rsidRPr="00AF2F65" w:rsidRDefault="00680096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</w:t>
            </w:r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pirometria</w:t>
            </w:r>
            <w:r w:rsidR="00D5367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D53679" w:rsidRPr="00AF2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(maksymalnie do 3 m-</w:t>
            </w:r>
            <w:proofErr w:type="spellStart"/>
            <w:r w:rsidR="00D53679" w:rsidRPr="00AF2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cy</w:t>
            </w:r>
            <w:proofErr w:type="spellEnd"/>
            <w:r w:rsidR="00D53679" w:rsidRPr="00AF2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przed kwalifikacją),</w:t>
            </w:r>
          </w:p>
          <w:p w14:paraId="3C0BF6D2" w14:textId="3CBE6C11" w:rsidR="00AB3992" w:rsidRPr="00933168" w:rsidRDefault="00FD6B3A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lastRenderedPageBreak/>
              <w:t>w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skaźnik transferu płucnego</w:t>
            </w:r>
            <w:r w:rsidR="006A5BD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dla </w:t>
            </w:r>
            <w:r w:rsidR="000F177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CO</w:t>
            </w:r>
            <w:r w:rsidR="008C5BB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proofErr w:type="spellStart"/>
            <w:r w:rsidR="0031135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T</w:t>
            </w:r>
            <w:r w:rsidR="008C5BB4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L</w:t>
            </w:r>
            <w:r w:rsidR="002E7B41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co</w:t>
            </w:r>
            <w:proofErr w:type="spellEnd"/>
            <w:r w:rsidR="00AB399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</w:t>
            </w:r>
            <w:r w:rsidR="00D5367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(maksymalnie do 3 m-</w:t>
            </w:r>
            <w:proofErr w:type="spellStart"/>
            <w:r w:rsidR="00D5367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cy</w:t>
            </w:r>
            <w:proofErr w:type="spellEnd"/>
            <w:r w:rsidR="00D53679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przed kwalifikacją),</w:t>
            </w:r>
          </w:p>
          <w:p w14:paraId="3208A8F0" w14:textId="3946F9D3" w:rsidR="002E7B41" w:rsidRPr="00CF7E2B" w:rsidRDefault="002E7B41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CF7E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pletyzmografia</w:t>
            </w:r>
            <w:r w:rsidR="00D53679" w:rsidRPr="00CF7E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</w:t>
            </w:r>
            <w:r w:rsidRPr="00CF7E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maksymalnie do 3 m</w:t>
            </w:r>
            <w:r w:rsidR="00D53679" w:rsidRPr="00CF7E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-</w:t>
            </w:r>
            <w:proofErr w:type="spellStart"/>
            <w:r w:rsidRPr="00CF7E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cy</w:t>
            </w:r>
            <w:proofErr w:type="spellEnd"/>
            <w:r w:rsidRPr="00CF7E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przed kwalifikacją</w:t>
            </w:r>
            <w:r w:rsidR="00D53679" w:rsidRPr="00CF7E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),</w:t>
            </w:r>
          </w:p>
          <w:p w14:paraId="1145C014" w14:textId="72EADFB4" w:rsidR="00AB3992" w:rsidRPr="00933168" w:rsidRDefault="00AB3992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TK</w:t>
            </w:r>
            <w:r w:rsidR="008B39F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wysokiej rozdzielczości </w:t>
            </w:r>
            <w:r w:rsidR="00B63A7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klatki piersiowej (</w:t>
            </w:r>
            <w:r w:rsidR="0031135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TKWR</w:t>
            </w:r>
            <w:r w:rsidR="00B63A7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)</w:t>
            </w:r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(maksymalnie do </w:t>
            </w:r>
            <w:r w:rsidR="00340383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12</w:t>
            </w:r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m-</w:t>
            </w:r>
            <w:proofErr w:type="spellStart"/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cy</w:t>
            </w:r>
            <w:proofErr w:type="spellEnd"/>
            <w:r w:rsidR="009241EF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przed kwalifikacją)</w:t>
            </w:r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3BE67E48" w14:textId="3794E43E" w:rsidR="00B63A7E" w:rsidRPr="00933168" w:rsidRDefault="0053696C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g</w:t>
            </w:r>
            <w:r w:rsidR="00B63A7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azometria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B63A7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krwi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B63A7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lub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B63A7E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pulsoksymetria</w:t>
            </w:r>
            <w:proofErr w:type="spellEnd"/>
            <w:r w:rsidR="00680096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,</w:t>
            </w:r>
          </w:p>
          <w:p w14:paraId="148760C8" w14:textId="77777777" w:rsidR="000D21A0" w:rsidRPr="00933168" w:rsidRDefault="006D6C83" w:rsidP="00933168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60" w:after="60"/>
              <w:ind w:left="459" w:hanging="278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konsultacja pulmonologiczna </w:t>
            </w:r>
            <w:r w:rsidR="005E6A62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lub reumatologiczna </w:t>
            </w:r>
            <w:r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(do decyzji lekarza)</w:t>
            </w:r>
            <w:r w:rsidR="00AB7228" w:rsidRPr="009331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.</w:t>
            </w:r>
          </w:p>
          <w:p w14:paraId="01D4288B" w14:textId="77777777" w:rsidR="00490140" w:rsidRPr="00680096" w:rsidRDefault="00490140" w:rsidP="00933168">
            <w:pPr>
              <w:suppressAutoHyphens/>
              <w:snapToGrid w:val="0"/>
              <w:spacing w:before="6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4323FCA4" w14:textId="77777777" w:rsidR="00B63A7E" w:rsidRPr="00680096" w:rsidRDefault="00320D5B" w:rsidP="00933168">
            <w:pPr>
              <w:pStyle w:val="NormalnyWeb"/>
              <w:numPr>
                <w:ilvl w:val="0"/>
                <w:numId w:val="44"/>
              </w:numPr>
              <w:spacing w:before="60" w:beforeAutospacing="0" w:after="60" w:afterAutospacing="0" w:line="276" w:lineRule="auto"/>
              <w:jc w:val="both"/>
              <w:rPr>
                <w:b/>
                <w:sz w:val="20"/>
                <w:szCs w:val="20"/>
              </w:rPr>
            </w:pPr>
            <w:r w:rsidRPr="00680096">
              <w:rPr>
                <w:b/>
                <w:sz w:val="20"/>
                <w:szCs w:val="20"/>
              </w:rPr>
              <w:t xml:space="preserve">Monitorowanie terapii </w:t>
            </w:r>
          </w:p>
          <w:p w14:paraId="569FF67F" w14:textId="77777777" w:rsidR="008C5BB4" w:rsidRPr="008D2C64" w:rsidRDefault="00490140" w:rsidP="00933168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adania laboratoryjne</w:t>
            </w:r>
            <w:r w:rsidR="008B39FF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51C04B97" w14:textId="6654697E" w:rsidR="008C5BB4" w:rsidRPr="008D2C64" w:rsidRDefault="008C5BB4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morfologi</w:t>
            </w:r>
            <w:r w:rsidR="00FA683F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krwi</w:t>
            </w:r>
            <w:r w:rsidR="0087211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rozmazem</w:t>
            </w:r>
            <w:r w:rsidR="0049014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572A7737" w14:textId="325EC62D" w:rsidR="008C5BB4" w:rsidRPr="008D2C64" w:rsidRDefault="0087211D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</w:t>
            </w:r>
            <w:r w:rsidR="008C5BB4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stężeni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8C5BB4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kreatyniny/GFR w surowicy</w:t>
            </w:r>
            <w:r w:rsidR="0049014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132C5AEA" w14:textId="77777777" w:rsidR="0087211D" w:rsidRPr="008D2C64" w:rsidRDefault="0087211D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aktywności aminotransferazy </w:t>
            </w:r>
            <w:proofErr w:type="spellStart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asparaginianowej</w:t>
            </w:r>
            <w:proofErr w:type="spellEnd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AspAT</w:t>
            </w:r>
            <w:proofErr w:type="spellEnd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680096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27A885FF" w14:textId="77777777" w:rsidR="0087211D" w:rsidRPr="008D2C64" w:rsidRDefault="0087211D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oznaczenie aktywności aminotransferazy alaninowej (</w:t>
            </w:r>
            <w:proofErr w:type="spellStart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AlAT</w:t>
            </w:r>
            <w:proofErr w:type="spellEnd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680096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5606BF99" w14:textId="2A82A88B" w:rsidR="008C5BB4" w:rsidRPr="008D2C64" w:rsidRDefault="0087211D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stężenia </w:t>
            </w:r>
            <w:r w:rsidR="008C5BB4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bilirubin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y w surowicy</w:t>
            </w:r>
            <w:r w:rsidR="0049014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5BF145FE" w14:textId="77777777" w:rsidR="0087211D" w:rsidRPr="00680096" w:rsidRDefault="0087211D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8009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czasu </w:t>
            </w:r>
            <w:proofErr w:type="spellStart"/>
            <w:r w:rsidRPr="00680096">
              <w:rPr>
                <w:rFonts w:ascii="Times New Roman" w:hAnsi="Times New Roman"/>
                <w:sz w:val="20"/>
                <w:szCs w:val="20"/>
                <w:lang w:val="pl-PL"/>
              </w:rPr>
              <w:t>protrombinowego</w:t>
            </w:r>
            <w:proofErr w:type="spellEnd"/>
            <w:r w:rsidRPr="0068009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(PT),</w:t>
            </w:r>
          </w:p>
          <w:p w14:paraId="52171350" w14:textId="7133B72A" w:rsidR="00680096" w:rsidRPr="008D2C64" w:rsidRDefault="0087211D" w:rsidP="00933168">
            <w:pPr>
              <w:numPr>
                <w:ilvl w:val="4"/>
                <w:numId w:val="4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czasu </w:t>
            </w:r>
            <w:proofErr w:type="spellStart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kaolinowo-kefalinowego</w:t>
            </w:r>
            <w:proofErr w:type="spellEnd"/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(APTT)</w:t>
            </w:r>
            <w:r w:rsidR="00680096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5A4CCF6F" w14:textId="77777777" w:rsidR="00B55B47" w:rsidRPr="008D2C64" w:rsidRDefault="00B55B47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sz w:val="20"/>
                <w:szCs w:val="20"/>
                <w:lang w:val="pl-PL"/>
              </w:rPr>
              <w:t>Wymienione badania powinny być wykonywane po 1 miesiącu (±15 dni), po 3 miesiącach (±1 miesiąc) i po 6 miesiącach (±1 miesiąc) od pierwszego podania leku</w:t>
            </w:r>
            <w:r w:rsidR="001B4328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4FBEBA54" w14:textId="77777777" w:rsidR="008C5BB4" w:rsidRDefault="008C5BB4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Jeżeli terapia jest kontynuowana</w:t>
            </w:r>
            <w:r w:rsidR="00680096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powyższe </w:t>
            </w:r>
            <w:r w:rsidR="001A41FA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należy 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powtarzać po każdych kolejnych 6 miesiącach</w:t>
            </w:r>
            <w:r w:rsidR="00FB4D8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(±</w:t>
            </w:r>
            <w:r w:rsidR="004D1AA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miesiąc</w:t>
            </w:r>
            <w:r w:rsidR="004D1AA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).</w:t>
            </w:r>
          </w:p>
          <w:p w14:paraId="593526F6" w14:textId="77777777" w:rsidR="00933168" w:rsidRPr="008D2C64" w:rsidRDefault="00933168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62FEFCA9" w14:textId="62106CD8" w:rsidR="00B63A7E" w:rsidRPr="008D2C64" w:rsidRDefault="00490140" w:rsidP="00933168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adania czynnościowe</w:t>
            </w:r>
            <w:r w:rsidR="00B63A7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układu od</w:t>
            </w:r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dechowego:</w:t>
            </w:r>
          </w:p>
          <w:p w14:paraId="6B2FB88F" w14:textId="77777777" w:rsidR="00B63A7E" w:rsidRPr="008D2C64" w:rsidRDefault="00320D5B" w:rsidP="00933168">
            <w:pPr>
              <w:numPr>
                <w:ilvl w:val="4"/>
                <w:numId w:val="58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spirometrię</w:t>
            </w:r>
            <w:r w:rsidR="0049014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20C825A3" w14:textId="2385E012" w:rsidR="00B63A7E" w:rsidRPr="008D2C64" w:rsidRDefault="00FA683F" w:rsidP="00933168">
            <w:pPr>
              <w:numPr>
                <w:ilvl w:val="4"/>
                <w:numId w:val="58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wskaźnik transferu płucnego</w:t>
            </w:r>
            <w:r w:rsidR="000F1776" w:rsidRPr="0068009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dla </w:t>
            </w:r>
            <w:r w:rsidR="004F7AB1" w:rsidRPr="00680096">
              <w:rPr>
                <w:rFonts w:ascii="Times New Roman" w:hAnsi="Times New Roman"/>
                <w:sz w:val="20"/>
                <w:szCs w:val="20"/>
                <w:lang w:val="pl-PL"/>
              </w:rPr>
              <w:t>CO</w:t>
            </w:r>
            <w:r w:rsidR="000F1776" w:rsidRPr="0068009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proofErr w:type="spellStart"/>
            <w:r w:rsidR="0031135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T</w:t>
            </w:r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L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co</w:t>
            </w:r>
            <w:proofErr w:type="spellEnd"/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49014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3958900B" w14:textId="61F1CE7B" w:rsidR="00FA683F" w:rsidRPr="00CF7E2B" w:rsidRDefault="00FA683F" w:rsidP="00933168">
            <w:pPr>
              <w:numPr>
                <w:ilvl w:val="4"/>
                <w:numId w:val="58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CF7E2B">
              <w:rPr>
                <w:rFonts w:ascii="Times New Roman" w:hAnsi="Times New Roman"/>
                <w:sz w:val="20"/>
                <w:szCs w:val="20"/>
                <w:lang w:val="pl-PL"/>
              </w:rPr>
              <w:t>pletyzmografię</w:t>
            </w:r>
            <w:r w:rsidR="00D53679" w:rsidRPr="00CF7E2B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159AC7D2" w14:textId="77777777" w:rsidR="001B4328" w:rsidRPr="008D2C64" w:rsidRDefault="00320D5B" w:rsidP="00933168">
            <w:pPr>
              <w:numPr>
                <w:ilvl w:val="4"/>
                <w:numId w:val="58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gazometrię krwi lub </w:t>
            </w:r>
            <w:proofErr w:type="spellStart"/>
            <w:r w:rsidR="001A41FA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pulsoksymetrię</w:t>
            </w:r>
            <w:proofErr w:type="spellEnd"/>
            <w:r w:rsidR="001B432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6DF08440" w14:textId="148B2A84" w:rsidR="00B63A7E" w:rsidRDefault="001B4328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Wymienione badania powinny być wykonywane po każdych 12 miesiącach (±3 miesiące) od pierwszego podania leku.</w:t>
            </w:r>
          </w:p>
          <w:p w14:paraId="022AB07F" w14:textId="77777777" w:rsidR="00933168" w:rsidRPr="008D2C64" w:rsidRDefault="00933168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F0E7799" w14:textId="39EAB7A9" w:rsidR="00DE2E1F" w:rsidRPr="008D2C64" w:rsidRDefault="00490140" w:rsidP="00933168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adanie obrazowe płuc</w:t>
            </w:r>
            <w:r w:rsidR="00DE2E1F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290EF53C" w14:textId="77777777" w:rsidR="00DE2E1F" w:rsidRPr="00D53679" w:rsidRDefault="00DE2E1F" w:rsidP="00933168">
            <w:pPr>
              <w:numPr>
                <w:ilvl w:val="4"/>
                <w:numId w:val="59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53679">
              <w:rPr>
                <w:rFonts w:ascii="Times New Roman" w:hAnsi="Times New Roman"/>
                <w:sz w:val="20"/>
                <w:szCs w:val="20"/>
                <w:lang w:val="pl-PL"/>
              </w:rPr>
              <w:t>TKWR klatki piersiowej.</w:t>
            </w:r>
          </w:p>
          <w:p w14:paraId="3DE2D1AB" w14:textId="4A6E6F8A" w:rsidR="00142078" w:rsidRDefault="00DE2E1F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Badanie należy wykonać</w:t>
            </w:r>
            <w:r w:rsidR="00F2515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 12</w:t>
            </w:r>
            <w:r w:rsidR="008B39FF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2515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miesiącach</w:t>
            </w:r>
            <w:r w:rsidR="00FB4D8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2515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(±</w:t>
            </w:r>
            <w:r w:rsidR="0072504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 w:rsidR="00F2515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miesiąc</w:t>
            </w:r>
            <w:r w:rsidR="0014207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F2515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) od pierwszego podania </w:t>
            </w:r>
            <w:r w:rsidR="0014207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leku</w:t>
            </w:r>
            <w:r w:rsidR="00320D5B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  <w:r w:rsidR="00E2445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przypadku kontynuacji leczenia w programie, decyzja</w:t>
            </w:r>
            <w:r w:rsidR="00FB4D8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2445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o terminie kolejnego badania należy</w:t>
            </w:r>
            <w:r w:rsidR="00FB4D8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2445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do lekarza prowadzącego</w:t>
            </w:r>
            <w:r w:rsidR="0049014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30521532" w14:textId="77777777" w:rsidR="00933168" w:rsidRPr="008D2C64" w:rsidRDefault="00933168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19262EA" w14:textId="77777777" w:rsidR="00320D5B" w:rsidRPr="008D2C64" w:rsidRDefault="00490140" w:rsidP="00933168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adani</w:t>
            </w:r>
            <w:r w:rsidR="0072504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926AF1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układu krążenia:</w:t>
            </w:r>
          </w:p>
          <w:p w14:paraId="27E98406" w14:textId="77777777" w:rsidR="00375AE9" w:rsidRPr="008D2C64" w:rsidRDefault="0087211D" w:rsidP="00933168">
            <w:pPr>
              <w:numPr>
                <w:ilvl w:val="4"/>
                <w:numId w:val="6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elektrokardiografia (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EKG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 każdych 6 miesiącach (±</w:t>
            </w:r>
            <w:r w:rsidR="0072504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miesiąc</w:t>
            </w:r>
            <w:r w:rsidR="0072504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49014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47AABED" w14:textId="09B9E5B1" w:rsidR="00375AE9" w:rsidRDefault="0087211D" w:rsidP="00933168">
            <w:pPr>
              <w:numPr>
                <w:ilvl w:val="4"/>
                <w:numId w:val="60"/>
              </w:num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ECHO serca 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po każdych 12 miesiącach (±3 miesiąc</w:t>
            </w:r>
            <w:r w:rsidR="00142078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375AE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1A41FA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2BEA47BC" w14:textId="77777777" w:rsidR="00933168" w:rsidRPr="008D2C64" w:rsidRDefault="00933168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1228375" w14:textId="3BAD61A3" w:rsidR="00490140" w:rsidRDefault="000D54DE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Weryfikacja skuteczności leczenia odbywa się w oparciu o w/w kryteria oraz ocenę stanu klinicznego pacjenta dokonywaną przez Zespół Koordynacyjny co 12 miesięcy. Dane gromadzone są w elektronicznym systemie monitorowania programów lekowych i analizowane przez Zespół Koordynacyjny</w:t>
            </w:r>
            <w:r w:rsidR="00D53679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A683F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do Spraw Leczenia Bi</w:t>
            </w:r>
            <w:r w:rsidR="00B40DA5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FA683F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logicznego w Chorobach Reumatycznych 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który podsumowuje wyniki leczenia w programie lekowym </w:t>
            </w:r>
            <w:r w:rsidR="00FA683F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chorych na chorobę śródmiąższową płuc w przebiegu układowych chorób tkanki łącznej lub Zespół Koordynacyjny do Spraw Leczenia Chorób Śródmiąższowych Płuc, który podsumowuje wyniki leczenia chorych na śródmiąższowe choroby płuc nie związane z chorobą układową tkanki łącznej </w:t>
            </w: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na koniec każdego roku.</w:t>
            </w:r>
          </w:p>
          <w:p w14:paraId="44F4738E" w14:textId="77777777" w:rsidR="008D2C64" w:rsidRPr="008D2C64" w:rsidRDefault="008D2C64" w:rsidP="0093316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419E99C" w14:textId="77777777" w:rsidR="00B63A7E" w:rsidRPr="00680096" w:rsidRDefault="00B63A7E" w:rsidP="00933168">
            <w:pPr>
              <w:pStyle w:val="NormalnyWeb"/>
              <w:numPr>
                <w:ilvl w:val="0"/>
                <w:numId w:val="44"/>
              </w:numPr>
              <w:spacing w:before="60" w:beforeAutospacing="0" w:after="60" w:afterAutospacing="0" w:line="276" w:lineRule="auto"/>
              <w:jc w:val="both"/>
              <w:rPr>
                <w:b/>
                <w:sz w:val="20"/>
                <w:szCs w:val="20"/>
              </w:rPr>
            </w:pPr>
            <w:r w:rsidRPr="00680096">
              <w:rPr>
                <w:b/>
                <w:sz w:val="20"/>
                <w:szCs w:val="20"/>
              </w:rPr>
              <w:t>Monitorowanie programu</w:t>
            </w:r>
          </w:p>
          <w:p w14:paraId="4123D1CD" w14:textId="77777777" w:rsidR="00B63A7E" w:rsidRPr="008D2C64" w:rsidRDefault="00490140" w:rsidP="00933168">
            <w:pPr>
              <w:pStyle w:val="Akapitzlist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g</w:t>
            </w:r>
            <w:r w:rsidR="00B63A7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romadzenie w dokumentacji medycznej pacjenta danych dotyc</w:t>
            </w:r>
            <w:r w:rsidR="00F7369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zących monitorowania leczenia</w:t>
            </w:r>
            <w:r w:rsidR="00FB4D8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73690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 </w:t>
            </w:r>
            <w:r w:rsidR="00B63A7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każdorazowe ich przedstawianie na żądanie kontrolerów Narodowego Funduszu Zdrowia;</w:t>
            </w:r>
          </w:p>
          <w:p w14:paraId="16346DEE" w14:textId="058775BF" w:rsidR="00DE5042" w:rsidRPr="008D2C64" w:rsidRDefault="00490140" w:rsidP="00933168">
            <w:pPr>
              <w:pStyle w:val="Akapitzlist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DE5042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zupełnienie danych zawartych w elektronicznym systemie monitorowania programów lekowych dostępnym za pomocą aplikacji internetowej udostępnionej przez OW NFZ, z częstotliwością zgodną z opisem programu oraz na zakończenie leczenia</w:t>
            </w:r>
            <w:r w:rsidR="00AE1E8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46A0FBC" w14:textId="77777777" w:rsidR="00AE1E8D" w:rsidRPr="008D2C64" w:rsidRDefault="00AE1E8D" w:rsidP="00933168">
            <w:pPr>
              <w:pStyle w:val="Akapitzlist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przekazywanie za pomocą odpowiedniej aplikacji internetowej danych dotyczących oceny skuteczności leczenia na podstawie uzyskanych wyników badań opisanych w pkt 2;</w:t>
            </w:r>
          </w:p>
          <w:p w14:paraId="23EA9C0E" w14:textId="77777777" w:rsidR="00B63A7E" w:rsidRPr="00CA536D" w:rsidRDefault="00490140" w:rsidP="00933168">
            <w:pPr>
              <w:pStyle w:val="Akapitzlist"/>
              <w:numPr>
                <w:ilvl w:val="0"/>
                <w:numId w:val="67"/>
              </w:numPr>
              <w:autoSpaceDE w:val="0"/>
              <w:autoSpaceDN w:val="0"/>
              <w:adjustRightInd w:val="0"/>
              <w:spacing w:before="60" w:after="60"/>
              <w:ind w:left="464" w:hanging="283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8D2C64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B63A7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rzekazywanie informacji sprawozdawczo</w:t>
            </w:r>
            <w:r w:rsidR="00307E16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63A7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rozliczeniowych do NFZ: informacje przekazuje się</w:t>
            </w:r>
            <w:r w:rsidR="00FB4D8D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63A7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do NFZ w formie papierowej lub w formie elektronicznej, zgodnie z wymaganiami</w:t>
            </w:r>
            <w:r w:rsidR="00307E16" w:rsidRPr="008D2C64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63A7E" w:rsidRPr="008D2C64">
              <w:rPr>
                <w:rFonts w:ascii="Times New Roman" w:hAnsi="Times New Roman"/>
                <w:sz w:val="20"/>
                <w:szCs w:val="20"/>
                <w:lang w:val="pl-PL"/>
              </w:rPr>
              <w:t>opublikowanymi przez NFZ.</w:t>
            </w:r>
          </w:p>
        </w:tc>
      </w:tr>
    </w:tbl>
    <w:p w14:paraId="70A92145" w14:textId="77777777" w:rsidR="00B73B51" w:rsidRPr="00FB4D8D" w:rsidRDefault="00B73B51" w:rsidP="00DD6596">
      <w:pPr>
        <w:jc w:val="both"/>
        <w:rPr>
          <w:lang w:val="pl-PL"/>
        </w:rPr>
      </w:pPr>
    </w:p>
    <w:sectPr w:rsidR="00B73B51" w:rsidRPr="00FB4D8D" w:rsidSect="00A2533A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72E4A" w14:textId="77777777" w:rsidR="00AE395B" w:rsidRDefault="00AE395B" w:rsidP="00BD2918">
      <w:pPr>
        <w:spacing w:after="0" w:line="240" w:lineRule="auto"/>
      </w:pPr>
      <w:r>
        <w:separator/>
      </w:r>
    </w:p>
  </w:endnote>
  <w:endnote w:type="continuationSeparator" w:id="0">
    <w:p w14:paraId="75E3A91D" w14:textId="77777777" w:rsidR="00AE395B" w:rsidRDefault="00AE395B" w:rsidP="00BD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15B18" w14:textId="77777777" w:rsidR="00AE395B" w:rsidRDefault="00AE395B" w:rsidP="00BD2918">
      <w:pPr>
        <w:spacing w:after="0" w:line="240" w:lineRule="auto"/>
      </w:pPr>
      <w:r>
        <w:separator/>
      </w:r>
    </w:p>
  </w:footnote>
  <w:footnote w:type="continuationSeparator" w:id="0">
    <w:p w14:paraId="69B98C6A" w14:textId="77777777" w:rsidR="00AE395B" w:rsidRDefault="00AE395B" w:rsidP="00BD2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256"/>
    <w:multiLevelType w:val="hybridMultilevel"/>
    <w:tmpl w:val="5ADE8096"/>
    <w:lvl w:ilvl="0" w:tplc="172AECA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B6F"/>
    <w:multiLevelType w:val="hybridMultilevel"/>
    <w:tmpl w:val="F0CEB0FA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0FF53FF"/>
    <w:multiLevelType w:val="hybridMultilevel"/>
    <w:tmpl w:val="590CAB44"/>
    <w:lvl w:ilvl="0" w:tplc="12CC81F4">
      <w:start w:val="1"/>
      <w:numFmt w:val="decimal"/>
      <w:lvlText w:val="%1)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70FC9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32517"/>
    <w:multiLevelType w:val="hybridMultilevel"/>
    <w:tmpl w:val="357AF526"/>
    <w:lvl w:ilvl="0" w:tplc="77FA15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27CE5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C36425"/>
    <w:multiLevelType w:val="hybridMultilevel"/>
    <w:tmpl w:val="71649D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807301A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D0E26"/>
    <w:multiLevelType w:val="hybridMultilevel"/>
    <w:tmpl w:val="DF648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5573C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32C439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5064E61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C009E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F2033"/>
    <w:multiLevelType w:val="hybridMultilevel"/>
    <w:tmpl w:val="EA265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D3A8B"/>
    <w:multiLevelType w:val="multilevel"/>
    <w:tmpl w:val="4FFE4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3"/>
      <w:numFmt w:val="decimal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40D498A"/>
    <w:multiLevelType w:val="hybridMultilevel"/>
    <w:tmpl w:val="20803A60"/>
    <w:lvl w:ilvl="0" w:tplc="AC1646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39D633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9D6337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12561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C2619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2738C"/>
    <w:multiLevelType w:val="hybridMultilevel"/>
    <w:tmpl w:val="5E90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82AD4"/>
    <w:multiLevelType w:val="hybridMultilevel"/>
    <w:tmpl w:val="7B7838FA"/>
    <w:lvl w:ilvl="0" w:tplc="18F8605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FC1686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D0965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D3B89"/>
    <w:multiLevelType w:val="hybridMultilevel"/>
    <w:tmpl w:val="DF6489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CC6E12"/>
    <w:multiLevelType w:val="multilevel"/>
    <w:tmpl w:val="E91EC902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4" w15:restartNumberingAfterBreak="0">
    <w:nsid w:val="33E23178"/>
    <w:multiLevelType w:val="hybridMultilevel"/>
    <w:tmpl w:val="18F2554E"/>
    <w:lvl w:ilvl="0" w:tplc="AC1646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39D633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9D6337C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B47F7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35E3780E"/>
    <w:multiLevelType w:val="hybridMultilevel"/>
    <w:tmpl w:val="375661D2"/>
    <w:lvl w:ilvl="0" w:tplc="235A7F8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91137E"/>
    <w:multiLevelType w:val="hybridMultilevel"/>
    <w:tmpl w:val="0EC28294"/>
    <w:lvl w:ilvl="0" w:tplc="69541F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E3C61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B00C5"/>
    <w:multiLevelType w:val="hybridMultilevel"/>
    <w:tmpl w:val="8A985378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C3432A"/>
    <w:multiLevelType w:val="hybridMultilevel"/>
    <w:tmpl w:val="85300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1D3E5B"/>
    <w:multiLevelType w:val="hybridMultilevel"/>
    <w:tmpl w:val="55D2CD7A"/>
    <w:lvl w:ilvl="0" w:tplc="FFA869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C6D67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033BE"/>
    <w:multiLevelType w:val="hybridMultilevel"/>
    <w:tmpl w:val="7DFA4E54"/>
    <w:lvl w:ilvl="0" w:tplc="921E1476">
      <w:start w:val="3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1259BA"/>
    <w:multiLevelType w:val="hybridMultilevel"/>
    <w:tmpl w:val="4514A270"/>
    <w:lvl w:ilvl="0" w:tplc="89ECC2D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7189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43875D5B"/>
    <w:multiLevelType w:val="hybridMultilevel"/>
    <w:tmpl w:val="07221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660B90"/>
    <w:multiLevelType w:val="hybridMultilevel"/>
    <w:tmpl w:val="05420ADA"/>
    <w:lvl w:ilvl="0" w:tplc="94225E1A">
      <w:start w:val="1"/>
      <w:numFmt w:val="decimal"/>
      <w:lvlText w:val="%1)"/>
      <w:lvlJc w:val="left"/>
      <w:pPr>
        <w:ind w:left="49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8" w15:restartNumberingAfterBreak="0">
    <w:nsid w:val="48B33DE6"/>
    <w:multiLevelType w:val="hybridMultilevel"/>
    <w:tmpl w:val="A7FE6214"/>
    <w:lvl w:ilvl="0" w:tplc="04150017">
      <w:start w:val="1"/>
      <w:numFmt w:val="lowerLetter"/>
      <w:lvlText w:val="%1)"/>
      <w:lvlJc w:val="lef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39" w15:restartNumberingAfterBreak="0">
    <w:nsid w:val="4DD474CA"/>
    <w:multiLevelType w:val="hybridMultilevel"/>
    <w:tmpl w:val="FE6E6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8C6A5F"/>
    <w:multiLevelType w:val="hybridMultilevel"/>
    <w:tmpl w:val="6B507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115D6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506739FB"/>
    <w:multiLevelType w:val="hybridMultilevel"/>
    <w:tmpl w:val="209C7E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43" w15:restartNumberingAfterBreak="0">
    <w:nsid w:val="53576D79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06969"/>
    <w:multiLevelType w:val="hybridMultilevel"/>
    <w:tmpl w:val="256AD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430D6A"/>
    <w:multiLevelType w:val="hybridMultilevel"/>
    <w:tmpl w:val="757EC270"/>
    <w:lvl w:ilvl="0" w:tplc="BB2286E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05B71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74702FA"/>
    <w:multiLevelType w:val="hybridMultilevel"/>
    <w:tmpl w:val="AB6E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A735CE"/>
    <w:multiLevelType w:val="hybridMultilevel"/>
    <w:tmpl w:val="AD2878E0"/>
    <w:lvl w:ilvl="0" w:tplc="2BEA2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EF7EBD"/>
    <w:multiLevelType w:val="hybridMultilevel"/>
    <w:tmpl w:val="D1CAD284"/>
    <w:lvl w:ilvl="0" w:tplc="C884FD86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74C60"/>
    <w:multiLevelType w:val="hybridMultilevel"/>
    <w:tmpl w:val="74F2DFEE"/>
    <w:lvl w:ilvl="0" w:tplc="D2E42A9A">
      <w:start w:val="2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513B0C"/>
    <w:multiLevelType w:val="hybridMultilevel"/>
    <w:tmpl w:val="76D66B5A"/>
    <w:lvl w:ilvl="0" w:tplc="66DC644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3481CD6"/>
    <w:multiLevelType w:val="hybridMultilevel"/>
    <w:tmpl w:val="E6922D54"/>
    <w:lvl w:ilvl="0" w:tplc="F3CA2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9503D0"/>
    <w:multiLevelType w:val="hybridMultilevel"/>
    <w:tmpl w:val="ACCC97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5803DE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6631379B"/>
    <w:multiLevelType w:val="hybridMultilevel"/>
    <w:tmpl w:val="E56AD302"/>
    <w:lvl w:ilvl="0" w:tplc="33CC68A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1E382D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9E5BC1"/>
    <w:multiLevelType w:val="hybridMultilevel"/>
    <w:tmpl w:val="963CF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1115B3"/>
    <w:multiLevelType w:val="hybridMultilevel"/>
    <w:tmpl w:val="6B168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9EB302B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E340297"/>
    <w:multiLevelType w:val="hybridMultilevel"/>
    <w:tmpl w:val="F89654EE"/>
    <w:lvl w:ilvl="0" w:tplc="C51C58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F211F55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260148"/>
    <w:multiLevelType w:val="hybridMultilevel"/>
    <w:tmpl w:val="39A6E5B4"/>
    <w:lvl w:ilvl="0" w:tplc="B3DC7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FA2FB7"/>
    <w:multiLevelType w:val="hybridMultilevel"/>
    <w:tmpl w:val="7166B3F0"/>
    <w:lvl w:ilvl="0" w:tplc="5E324166">
      <w:start w:val="1"/>
      <w:numFmt w:val="decimal"/>
      <w:lvlText w:val="%1)"/>
      <w:lvlJc w:val="left"/>
      <w:pPr>
        <w:ind w:left="49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64" w15:restartNumberingAfterBreak="0">
    <w:nsid w:val="7A265DB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5" w15:restartNumberingAfterBreak="0">
    <w:nsid w:val="7A9F0986"/>
    <w:multiLevelType w:val="hybridMultilevel"/>
    <w:tmpl w:val="389E5984"/>
    <w:lvl w:ilvl="0" w:tplc="8D7663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240BDF"/>
    <w:multiLevelType w:val="hybridMultilevel"/>
    <w:tmpl w:val="2EF49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DA3D82"/>
    <w:multiLevelType w:val="hybridMultilevel"/>
    <w:tmpl w:val="853005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464478">
    <w:abstractNumId w:val="23"/>
  </w:num>
  <w:num w:numId="2" w16cid:durableId="2004700915">
    <w:abstractNumId w:val="13"/>
  </w:num>
  <w:num w:numId="3" w16cid:durableId="749739052">
    <w:abstractNumId w:val="8"/>
  </w:num>
  <w:num w:numId="4" w16cid:durableId="598291352">
    <w:abstractNumId w:val="15"/>
  </w:num>
  <w:num w:numId="5" w16cid:durableId="1326321713">
    <w:abstractNumId w:val="24"/>
  </w:num>
  <w:num w:numId="6" w16cid:durableId="1938520217">
    <w:abstractNumId w:val="0"/>
  </w:num>
  <w:num w:numId="7" w16cid:durableId="860124058">
    <w:abstractNumId w:val="1"/>
  </w:num>
  <w:num w:numId="8" w16cid:durableId="478235328">
    <w:abstractNumId w:val="58"/>
  </w:num>
  <w:num w:numId="9" w16cid:durableId="1286080749">
    <w:abstractNumId w:val="66"/>
  </w:num>
  <w:num w:numId="10" w16cid:durableId="721055359">
    <w:abstractNumId w:val="34"/>
  </w:num>
  <w:num w:numId="11" w16cid:durableId="1683121877">
    <w:abstractNumId w:val="36"/>
  </w:num>
  <w:num w:numId="12" w16cid:durableId="1686906689">
    <w:abstractNumId w:val="42"/>
  </w:num>
  <w:num w:numId="13" w16cid:durableId="1816678541">
    <w:abstractNumId w:val="40"/>
  </w:num>
  <w:num w:numId="14" w16cid:durableId="99491659">
    <w:abstractNumId w:val="18"/>
  </w:num>
  <w:num w:numId="15" w16cid:durableId="801734403">
    <w:abstractNumId w:val="5"/>
  </w:num>
  <w:num w:numId="16" w16cid:durableId="77219261">
    <w:abstractNumId w:val="50"/>
  </w:num>
  <w:num w:numId="17" w16cid:durableId="306521243">
    <w:abstractNumId w:val="33"/>
  </w:num>
  <w:num w:numId="18" w16cid:durableId="1160270500">
    <w:abstractNumId w:val="27"/>
  </w:num>
  <w:num w:numId="19" w16cid:durableId="1358039763">
    <w:abstractNumId w:val="6"/>
  </w:num>
  <w:num w:numId="20" w16cid:durableId="379210420">
    <w:abstractNumId w:val="60"/>
  </w:num>
  <w:num w:numId="21" w16cid:durableId="1183013197">
    <w:abstractNumId w:val="63"/>
  </w:num>
  <w:num w:numId="22" w16cid:durableId="1048721789">
    <w:abstractNumId w:val="37"/>
  </w:num>
  <w:num w:numId="23" w16cid:durableId="1236621251">
    <w:abstractNumId w:val="38"/>
  </w:num>
  <w:num w:numId="24" w16cid:durableId="98724338">
    <w:abstractNumId w:val="49"/>
  </w:num>
  <w:num w:numId="25" w16cid:durableId="1431857463">
    <w:abstractNumId w:val="53"/>
  </w:num>
  <w:num w:numId="26" w16cid:durableId="1707674545">
    <w:abstractNumId w:val="4"/>
  </w:num>
  <w:num w:numId="27" w16cid:durableId="998390122">
    <w:abstractNumId w:val="26"/>
  </w:num>
  <w:num w:numId="28" w16cid:durableId="112094917">
    <w:abstractNumId w:val="31"/>
  </w:num>
  <w:num w:numId="29" w16cid:durableId="1286932750">
    <w:abstractNumId w:val="65"/>
  </w:num>
  <w:num w:numId="30" w16cid:durableId="1733891013">
    <w:abstractNumId w:val="55"/>
  </w:num>
  <w:num w:numId="31" w16cid:durableId="1165126638">
    <w:abstractNumId w:val="45"/>
  </w:num>
  <w:num w:numId="32" w16cid:durableId="2069378721">
    <w:abstractNumId w:val="51"/>
  </w:num>
  <w:num w:numId="33" w16cid:durableId="156657247">
    <w:abstractNumId w:val="48"/>
  </w:num>
  <w:num w:numId="34" w16cid:durableId="818956125">
    <w:abstractNumId w:val="19"/>
  </w:num>
  <w:num w:numId="35" w16cid:durableId="723721263">
    <w:abstractNumId w:val="32"/>
  </w:num>
  <w:num w:numId="36" w16cid:durableId="368268023">
    <w:abstractNumId w:val="2"/>
  </w:num>
  <w:num w:numId="37" w16cid:durableId="1488012436">
    <w:abstractNumId w:val="22"/>
  </w:num>
  <w:num w:numId="38" w16cid:durableId="1496609866">
    <w:abstractNumId w:val="35"/>
  </w:num>
  <w:num w:numId="39" w16cid:durableId="2043050411">
    <w:abstractNumId w:val="47"/>
  </w:num>
  <w:num w:numId="40" w16cid:durableId="571083353">
    <w:abstractNumId w:val="54"/>
  </w:num>
  <w:num w:numId="41" w16cid:durableId="2027631543">
    <w:abstractNumId w:val="62"/>
  </w:num>
  <w:num w:numId="42" w16cid:durableId="1511946519">
    <w:abstractNumId w:val="52"/>
  </w:num>
  <w:num w:numId="43" w16cid:durableId="1652521024">
    <w:abstractNumId w:val="25"/>
  </w:num>
  <w:num w:numId="44" w16cid:durableId="1284917553">
    <w:abstractNumId w:val="9"/>
  </w:num>
  <w:num w:numId="45" w16cid:durableId="378554806">
    <w:abstractNumId w:val="29"/>
  </w:num>
  <w:num w:numId="46" w16cid:durableId="978418263">
    <w:abstractNumId w:val="30"/>
  </w:num>
  <w:num w:numId="47" w16cid:durableId="1200239649">
    <w:abstractNumId w:val="44"/>
  </w:num>
  <w:num w:numId="48" w16cid:durableId="380784882">
    <w:abstractNumId w:val="14"/>
  </w:num>
  <w:num w:numId="49" w16cid:durableId="1365710297">
    <w:abstractNumId w:val="57"/>
  </w:num>
  <w:num w:numId="50" w16cid:durableId="2113620713">
    <w:abstractNumId w:val="39"/>
  </w:num>
  <w:num w:numId="51" w16cid:durableId="1707825281">
    <w:abstractNumId w:val="21"/>
  </w:num>
  <w:num w:numId="52" w16cid:durableId="1150559657">
    <w:abstractNumId w:val="3"/>
  </w:num>
  <w:num w:numId="53" w16cid:durableId="215052567">
    <w:abstractNumId w:val="64"/>
  </w:num>
  <w:num w:numId="54" w16cid:durableId="811101967">
    <w:abstractNumId w:val="11"/>
  </w:num>
  <w:num w:numId="55" w16cid:durableId="903755693">
    <w:abstractNumId w:val="61"/>
  </w:num>
  <w:num w:numId="56" w16cid:durableId="170605344">
    <w:abstractNumId w:val="43"/>
  </w:num>
  <w:num w:numId="57" w16cid:durableId="774788715">
    <w:abstractNumId w:val="59"/>
  </w:num>
  <w:num w:numId="58" w16cid:durableId="1106970492">
    <w:abstractNumId w:val="41"/>
  </w:num>
  <w:num w:numId="59" w16cid:durableId="1522009011">
    <w:abstractNumId w:val="46"/>
  </w:num>
  <w:num w:numId="60" w16cid:durableId="563759749">
    <w:abstractNumId w:val="10"/>
  </w:num>
  <w:num w:numId="61" w16cid:durableId="1264848037">
    <w:abstractNumId w:val="17"/>
  </w:num>
  <w:num w:numId="62" w16cid:durableId="1010529173">
    <w:abstractNumId w:val="20"/>
  </w:num>
  <w:num w:numId="63" w16cid:durableId="628433256">
    <w:abstractNumId w:val="16"/>
  </w:num>
  <w:num w:numId="64" w16cid:durableId="1767463241">
    <w:abstractNumId w:val="12"/>
  </w:num>
  <w:num w:numId="65" w16cid:durableId="547569370">
    <w:abstractNumId w:val="7"/>
  </w:num>
  <w:num w:numId="66" w16cid:durableId="622230604">
    <w:abstractNumId w:val="28"/>
  </w:num>
  <w:num w:numId="67" w16cid:durableId="1702584527">
    <w:abstractNumId w:val="67"/>
  </w:num>
  <w:num w:numId="68" w16cid:durableId="1182402930">
    <w:abstractNumId w:val="5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14A5A"/>
    <w:rsid w:val="000168BF"/>
    <w:rsid w:val="00026C79"/>
    <w:rsid w:val="000353F0"/>
    <w:rsid w:val="0003619F"/>
    <w:rsid w:val="00041187"/>
    <w:rsid w:val="00050774"/>
    <w:rsid w:val="00054071"/>
    <w:rsid w:val="00054D94"/>
    <w:rsid w:val="00056A21"/>
    <w:rsid w:val="00062EE2"/>
    <w:rsid w:val="00067646"/>
    <w:rsid w:val="00074CB0"/>
    <w:rsid w:val="00081F35"/>
    <w:rsid w:val="00083EF6"/>
    <w:rsid w:val="00090913"/>
    <w:rsid w:val="00095DA6"/>
    <w:rsid w:val="00097520"/>
    <w:rsid w:val="000B3AFD"/>
    <w:rsid w:val="000B40AD"/>
    <w:rsid w:val="000B6BE7"/>
    <w:rsid w:val="000D21A0"/>
    <w:rsid w:val="000D54DE"/>
    <w:rsid w:val="000D759F"/>
    <w:rsid w:val="000E2BA8"/>
    <w:rsid w:val="000E2D9A"/>
    <w:rsid w:val="000F1776"/>
    <w:rsid w:val="00100260"/>
    <w:rsid w:val="0011150B"/>
    <w:rsid w:val="001152CB"/>
    <w:rsid w:val="00121102"/>
    <w:rsid w:val="001345AA"/>
    <w:rsid w:val="00136FFB"/>
    <w:rsid w:val="00140EE6"/>
    <w:rsid w:val="00142078"/>
    <w:rsid w:val="0014590F"/>
    <w:rsid w:val="00147AA5"/>
    <w:rsid w:val="00151654"/>
    <w:rsid w:val="00163E44"/>
    <w:rsid w:val="001644B8"/>
    <w:rsid w:val="00167528"/>
    <w:rsid w:val="00172359"/>
    <w:rsid w:val="001727FD"/>
    <w:rsid w:val="00173B9B"/>
    <w:rsid w:val="001757DF"/>
    <w:rsid w:val="001814E6"/>
    <w:rsid w:val="00183691"/>
    <w:rsid w:val="00183F2D"/>
    <w:rsid w:val="0019462D"/>
    <w:rsid w:val="001A41FA"/>
    <w:rsid w:val="001B23A7"/>
    <w:rsid w:val="001B4328"/>
    <w:rsid w:val="001B7CBD"/>
    <w:rsid w:val="001C3B2F"/>
    <w:rsid w:val="001C73AE"/>
    <w:rsid w:val="001D4B95"/>
    <w:rsid w:val="001D4E1B"/>
    <w:rsid w:val="001E17D6"/>
    <w:rsid w:val="001E17F7"/>
    <w:rsid w:val="001E2FDF"/>
    <w:rsid w:val="001E3492"/>
    <w:rsid w:val="001E501B"/>
    <w:rsid w:val="001E58F6"/>
    <w:rsid w:val="001E6E1E"/>
    <w:rsid w:val="001F043D"/>
    <w:rsid w:val="002141CE"/>
    <w:rsid w:val="00232852"/>
    <w:rsid w:val="00235E03"/>
    <w:rsid w:val="002365FC"/>
    <w:rsid w:val="002443E7"/>
    <w:rsid w:val="00261831"/>
    <w:rsid w:val="002633D2"/>
    <w:rsid w:val="002864BD"/>
    <w:rsid w:val="00290028"/>
    <w:rsid w:val="00296E87"/>
    <w:rsid w:val="002A284C"/>
    <w:rsid w:val="002A4C5C"/>
    <w:rsid w:val="002A57B6"/>
    <w:rsid w:val="002B3B0B"/>
    <w:rsid w:val="002B5B26"/>
    <w:rsid w:val="002C0F37"/>
    <w:rsid w:val="002D06C8"/>
    <w:rsid w:val="002D2E55"/>
    <w:rsid w:val="002D5C47"/>
    <w:rsid w:val="002E7B41"/>
    <w:rsid w:val="002F5C7A"/>
    <w:rsid w:val="002F737E"/>
    <w:rsid w:val="00300568"/>
    <w:rsid w:val="0030089C"/>
    <w:rsid w:val="00302BC9"/>
    <w:rsid w:val="00307E16"/>
    <w:rsid w:val="0031135E"/>
    <w:rsid w:val="00316899"/>
    <w:rsid w:val="00317BC2"/>
    <w:rsid w:val="00320D5B"/>
    <w:rsid w:val="00322C65"/>
    <w:rsid w:val="00340383"/>
    <w:rsid w:val="003430CA"/>
    <w:rsid w:val="003555CD"/>
    <w:rsid w:val="00360B72"/>
    <w:rsid w:val="0036512F"/>
    <w:rsid w:val="00375A47"/>
    <w:rsid w:val="00375AE9"/>
    <w:rsid w:val="00384742"/>
    <w:rsid w:val="00386CC4"/>
    <w:rsid w:val="003876AF"/>
    <w:rsid w:val="003C01BD"/>
    <w:rsid w:val="003C5D61"/>
    <w:rsid w:val="003C671E"/>
    <w:rsid w:val="003C78F5"/>
    <w:rsid w:val="003D6A68"/>
    <w:rsid w:val="003E2170"/>
    <w:rsid w:val="003E77E7"/>
    <w:rsid w:val="003F3B27"/>
    <w:rsid w:val="00400250"/>
    <w:rsid w:val="00401425"/>
    <w:rsid w:val="00402E0F"/>
    <w:rsid w:val="00411D3A"/>
    <w:rsid w:val="00413B47"/>
    <w:rsid w:val="00423A0F"/>
    <w:rsid w:val="0043003A"/>
    <w:rsid w:val="00430AD0"/>
    <w:rsid w:val="00464E37"/>
    <w:rsid w:val="00470D5F"/>
    <w:rsid w:val="00474D57"/>
    <w:rsid w:val="00477462"/>
    <w:rsid w:val="00484E8B"/>
    <w:rsid w:val="00490140"/>
    <w:rsid w:val="004A5FED"/>
    <w:rsid w:val="004B189D"/>
    <w:rsid w:val="004B4169"/>
    <w:rsid w:val="004B6EF0"/>
    <w:rsid w:val="004C30FE"/>
    <w:rsid w:val="004C75D3"/>
    <w:rsid w:val="004D1AA8"/>
    <w:rsid w:val="004E6EF7"/>
    <w:rsid w:val="004F7AB1"/>
    <w:rsid w:val="00504CBC"/>
    <w:rsid w:val="005233C0"/>
    <w:rsid w:val="00531D57"/>
    <w:rsid w:val="005343B2"/>
    <w:rsid w:val="00534FCD"/>
    <w:rsid w:val="00536141"/>
    <w:rsid w:val="0053696C"/>
    <w:rsid w:val="005430FB"/>
    <w:rsid w:val="00547041"/>
    <w:rsid w:val="00547B3C"/>
    <w:rsid w:val="00550F44"/>
    <w:rsid w:val="0055139D"/>
    <w:rsid w:val="005533D6"/>
    <w:rsid w:val="00554C01"/>
    <w:rsid w:val="00560802"/>
    <w:rsid w:val="00563AAC"/>
    <w:rsid w:val="0057094F"/>
    <w:rsid w:val="00581CEB"/>
    <w:rsid w:val="00584F36"/>
    <w:rsid w:val="005B189B"/>
    <w:rsid w:val="005B3AFD"/>
    <w:rsid w:val="005C0ECB"/>
    <w:rsid w:val="005C1C87"/>
    <w:rsid w:val="005C7C5C"/>
    <w:rsid w:val="005D2076"/>
    <w:rsid w:val="005D5D86"/>
    <w:rsid w:val="005E4D29"/>
    <w:rsid w:val="005E52C2"/>
    <w:rsid w:val="005E65BC"/>
    <w:rsid w:val="005E6A62"/>
    <w:rsid w:val="005F4851"/>
    <w:rsid w:val="006004E2"/>
    <w:rsid w:val="006008A9"/>
    <w:rsid w:val="00601EB6"/>
    <w:rsid w:val="00604A2E"/>
    <w:rsid w:val="00614464"/>
    <w:rsid w:val="0063257C"/>
    <w:rsid w:val="00637515"/>
    <w:rsid w:val="00643540"/>
    <w:rsid w:val="00645967"/>
    <w:rsid w:val="00645AFD"/>
    <w:rsid w:val="006513EE"/>
    <w:rsid w:val="00651447"/>
    <w:rsid w:val="006607F3"/>
    <w:rsid w:val="006666DC"/>
    <w:rsid w:val="00680096"/>
    <w:rsid w:val="00680FCC"/>
    <w:rsid w:val="00684664"/>
    <w:rsid w:val="00690A59"/>
    <w:rsid w:val="006A5BD2"/>
    <w:rsid w:val="006A6E4F"/>
    <w:rsid w:val="006B15B8"/>
    <w:rsid w:val="006C5224"/>
    <w:rsid w:val="006D513A"/>
    <w:rsid w:val="006D5300"/>
    <w:rsid w:val="006D6C83"/>
    <w:rsid w:val="006E0DE0"/>
    <w:rsid w:val="006E0F2C"/>
    <w:rsid w:val="006E30EC"/>
    <w:rsid w:val="007004DD"/>
    <w:rsid w:val="00706D43"/>
    <w:rsid w:val="00712F55"/>
    <w:rsid w:val="0072504D"/>
    <w:rsid w:val="007271A4"/>
    <w:rsid w:val="007339A7"/>
    <w:rsid w:val="007431E2"/>
    <w:rsid w:val="00753A8E"/>
    <w:rsid w:val="00760091"/>
    <w:rsid w:val="00770D22"/>
    <w:rsid w:val="007878B1"/>
    <w:rsid w:val="007905D7"/>
    <w:rsid w:val="007B1685"/>
    <w:rsid w:val="007B5A56"/>
    <w:rsid w:val="007C0461"/>
    <w:rsid w:val="007C2898"/>
    <w:rsid w:val="007C752B"/>
    <w:rsid w:val="007D5F75"/>
    <w:rsid w:val="007D642C"/>
    <w:rsid w:val="007E0D06"/>
    <w:rsid w:val="007F6C27"/>
    <w:rsid w:val="0080251A"/>
    <w:rsid w:val="008072B6"/>
    <w:rsid w:val="008140E4"/>
    <w:rsid w:val="00827835"/>
    <w:rsid w:val="00827ED5"/>
    <w:rsid w:val="00843DA6"/>
    <w:rsid w:val="00862E9A"/>
    <w:rsid w:val="0087211D"/>
    <w:rsid w:val="0087316D"/>
    <w:rsid w:val="00875C86"/>
    <w:rsid w:val="00880610"/>
    <w:rsid w:val="00885746"/>
    <w:rsid w:val="008978A0"/>
    <w:rsid w:val="008A1006"/>
    <w:rsid w:val="008B39FF"/>
    <w:rsid w:val="008C5BB4"/>
    <w:rsid w:val="008D2C64"/>
    <w:rsid w:val="008D612A"/>
    <w:rsid w:val="008E3B0A"/>
    <w:rsid w:val="008F24F8"/>
    <w:rsid w:val="008F3BAB"/>
    <w:rsid w:val="00900380"/>
    <w:rsid w:val="00903FC0"/>
    <w:rsid w:val="00906789"/>
    <w:rsid w:val="0091286E"/>
    <w:rsid w:val="00915EAB"/>
    <w:rsid w:val="00921C12"/>
    <w:rsid w:val="00922907"/>
    <w:rsid w:val="009241EF"/>
    <w:rsid w:val="00926459"/>
    <w:rsid w:val="00926AF1"/>
    <w:rsid w:val="00933168"/>
    <w:rsid w:val="009360DF"/>
    <w:rsid w:val="009362C0"/>
    <w:rsid w:val="00937C96"/>
    <w:rsid w:val="009404CB"/>
    <w:rsid w:val="00942B8A"/>
    <w:rsid w:val="009530C2"/>
    <w:rsid w:val="00954616"/>
    <w:rsid w:val="00957420"/>
    <w:rsid w:val="00960AB4"/>
    <w:rsid w:val="00972003"/>
    <w:rsid w:val="00990777"/>
    <w:rsid w:val="00996DE5"/>
    <w:rsid w:val="009C587C"/>
    <w:rsid w:val="009D05A7"/>
    <w:rsid w:val="009D5CB9"/>
    <w:rsid w:val="009D774D"/>
    <w:rsid w:val="009E1121"/>
    <w:rsid w:val="00A1158A"/>
    <w:rsid w:val="00A2533A"/>
    <w:rsid w:val="00A27354"/>
    <w:rsid w:val="00A31A35"/>
    <w:rsid w:val="00A37ABA"/>
    <w:rsid w:val="00A40150"/>
    <w:rsid w:val="00A439F3"/>
    <w:rsid w:val="00A54CF4"/>
    <w:rsid w:val="00A57CBE"/>
    <w:rsid w:val="00A85CB2"/>
    <w:rsid w:val="00AA589D"/>
    <w:rsid w:val="00AA7BAD"/>
    <w:rsid w:val="00AB3992"/>
    <w:rsid w:val="00AB7228"/>
    <w:rsid w:val="00AC2E8E"/>
    <w:rsid w:val="00AC7942"/>
    <w:rsid w:val="00AD1A15"/>
    <w:rsid w:val="00AE1E8D"/>
    <w:rsid w:val="00AE395B"/>
    <w:rsid w:val="00AF0F4A"/>
    <w:rsid w:val="00AF2F65"/>
    <w:rsid w:val="00B02301"/>
    <w:rsid w:val="00B14B8B"/>
    <w:rsid w:val="00B33152"/>
    <w:rsid w:val="00B40DA5"/>
    <w:rsid w:val="00B417AC"/>
    <w:rsid w:val="00B465EB"/>
    <w:rsid w:val="00B55B47"/>
    <w:rsid w:val="00B574BF"/>
    <w:rsid w:val="00B63A7E"/>
    <w:rsid w:val="00B721C8"/>
    <w:rsid w:val="00B73B51"/>
    <w:rsid w:val="00B83812"/>
    <w:rsid w:val="00BB31C8"/>
    <w:rsid w:val="00BD286B"/>
    <w:rsid w:val="00BD2918"/>
    <w:rsid w:val="00BD2FA1"/>
    <w:rsid w:val="00BE45B4"/>
    <w:rsid w:val="00BE7753"/>
    <w:rsid w:val="00BF3CEC"/>
    <w:rsid w:val="00BF674D"/>
    <w:rsid w:val="00C21B68"/>
    <w:rsid w:val="00C4351D"/>
    <w:rsid w:val="00C46415"/>
    <w:rsid w:val="00C54A98"/>
    <w:rsid w:val="00C67350"/>
    <w:rsid w:val="00C71289"/>
    <w:rsid w:val="00C85F5B"/>
    <w:rsid w:val="00CA536D"/>
    <w:rsid w:val="00CA7620"/>
    <w:rsid w:val="00CC5EDE"/>
    <w:rsid w:val="00CC69CF"/>
    <w:rsid w:val="00CE48DD"/>
    <w:rsid w:val="00CF7E2B"/>
    <w:rsid w:val="00D01629"/>
    <w:rsid w:val="00D0278F"/>
    <w:rsid w:val="00D10E73"/>
    <w:rsid w:val="00D12090"/>
    <w:rsid w:val="00D203F6"/>
    <w:rsid w:val="00D53679"/>
    <w:rsid w:val="00D75D91"/>
    <w:rsid w:val="00D77576"/>
    <w:rsid w:val="00D82AD6"/>
    <w:rsid w:val="00D94F58"/>
    <w:rsid w:val="00DB430D"/>
    <w:rsid w:val="00DC271E"/>
    <w:rsid w:val="00DC53C3"/>
    <w:rsid w:val="00DD18C8"/>
    <w:rsid w:val="00DD5EC2"/>
    <w:rsid w:val="00DD6596"/>
    <w:rsid w:val="00DE2E1F"/>
    <w:rsid w:val="00DE5042"/>
    <w:rsid w:val="00E01C56"/>
    <w:rsid w:val="00E11D2D"/>
    <w:rsid w:val="00E149C9"/>
    <w:rsid w:val="00E20E29"/>
    <w:rsid w:val="00E24450"/>
    <w:rsid w:val="00E33077"/>
    <w:rsid w:val="00E45819"/>
    <w:rsid w:val="00E52754"/>
    <w:rsid w:val="00E54585"/>
    <w:rsid w:val="00E56205"/>
    <w:rsid w:val="00E67BFC"/>
    <w:rsid w:val="00E7167E"/>
    <w:rsid w:val="00E730E9"/>
    <w:rsid w:val="00E84570"/>
    <w:rsid w:val="00E85F54"/>
    <w:rsid w:val="00E87089"/>
    <w:rsid w:val="00E9664F"/>
    <w:rsid w:val="00EC272C"/>
    <w:rsid w:val="00EC3ECF"/>
    <w:rsid w:val="00ED12DF"/>
    <w:rsid w:val="00EE0B00"/>
    <w:rsid w:val="00F043F3"/>
    <w:rsid w:val="00F11182"/>
    <w:rsid w:val="00F124B5"/>
    <w:rsid w:val="00F13FD3"/>
    <w:rsid w:val="00F21482"/>
    <w:rsid w:val="00F2399B"/>
    <w:rsid w:val="00F25158"/>
    <w:rsid w:val="00F367D6"/>
    <w:rsid w:val="00F36BAA"/>
    <w:rsid w:val="00F4337B"/>
    <w:rsid w:val="00F45AE7"/>
    <w:rsid w:val="00F50F70"/>
    <w:rsid w:val="00F60DD1"/>
    <w:rsid w:val="00F64DF4"/>
    <w:rsid w:val="00F70A60"/>
    <w:rsid w:val="00F7119C"/>
    <w:rsid w:val="00F724F0"/>
    <w:rsid w:val="00F72FE3"/>
    <w:rsid w:val="00F73690"/>
    <w:rsid w:val="00F77462"/>
    <w:rsid w:val="00F81343"/>
    <w:rsid w:val="00F92D8F"/>
    <w:rsid w:val="00F949FC"/>
    <w:rsid w:val="00F95295"/>
    <w:rsid w:val="00F9605F"/>
    <w:rsid w:val="00FA0AE3"/>
    <w:rsid w:val="00FA683F"/>
    <w:rsid w:val="00FB4D8D"/>
    <w:rsid w:val="00FC0131"/>
    <w:rsid w:val="00FC1C6E"/>
    <w:rsid w:val="00FD6B3A"/>
    <w:rsid w:val="00FD6E8B"/>
    <w:rsid w:val="00FE460B"/>
    <w:rsid w:val="00FE6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4F17"/>
  <w15:chartTrackingRefBased/>
  <w15:docId w15:val="{33302D0C-D7DF-409E-975A-700755DA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A7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NagwekZnak">
    <w:name w:val="Nagłówek Znak"/>
    <w:link w:val="Nagwek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paragraph" w:customStyle="1" w:styleId="Default">
    <w:name w:val="Default"/>
    <w:rsid w:val="00706D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81343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8D2C6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34FC21984022419F3584ECAEC38939" ma:contentTypeVersion="16" ma:contentTypeDescription="Utwórz nowy dokument." ma:contentTypeScope="" ma:versionID="c135d07b5e999c192e343eb3c4a450d5">
  <xsd:schema xmlns:xsd="http://www.w3.org/2001/XMLSchema" xmlns:xs="http://www.w3.org/2001/XMLSchema" xmlns:p="http://schemas.microsoft.com/office/2006/metadata/properties" xmlns:ns2="8459ae71-e765-4433-9c09-b6571650456b" xmlns:ns3="28494a8f-65c3-4830-a156-212c8b18fecd" targetNamespace="http://schemas.microsoft.com/office/2006/metadata/properties" ma:root="true" ma:fieldsID="ec851485fd21c64869f75884910735fc" ns2:_="" ns3:_="">
    <xsd:import namespace="8459ae71-e765-4433-9c09-b6571650456b"/>
    <xsd:import namespace="28494a8f-65c3-4830-a156-212c8b18fe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9ae71-e765-4433-9c09-b65716504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98f3110-b2b7-48bc-b5f0-a137367be0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94a8f-65c3-4830-a156-212c8b18fec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a66ffee-5454-49ab-9a5d-43f78862541a}" ma:internalName="TaxCatchAll" ma:showField="CatchAllData" ma:web="28494a8f-65c3-4830-a156-212c8b18fe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494a8f-65c3-4830-a156-212c8b18fecd" xsi:nil="true"/>
    <lcf76f155ced4ddcb4097134ff3c332f xmlns="8459ae71-e765-4433-9c09-b6571650456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271C3-6ED4-4AFD-8781-3D765AB1B0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F20E1-18DD-40DF-8F55-F277AB4A5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59ae71-e765-4433-9c09-b6571650456b"/>
    <ds:schemaRef ds:uri="28494a8f-65c3-4830-a156-212c8b18fe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CDE9CC-4D82-498B-A645-234D2B37F4BA}">
  <ds:schemaRefs>
    <ds:schemaRef ds:uri="http://schemas.microsoft.com/office/2006/metadata/properties"/>
    <ds:schemaRef ds:uri="http://schemas.microsoft.com/office/infopath/2007/PartnerControls"/>
    <ds:schemaRef ds:uri="28494a8f-65c3-4830-a156-212c8b18fecd"/>
    <ds:schemaRef ds:uri="8459ae71-e765-4433-9c09-b6571650456b"/>
  </ds:schemaRefs>
</ds:datastoreItem>
</file>

<file path=customXml/itemProps4.xml><?xml version="1.0" encoding="utf-8"?>
<ds:datastoreItem xmlns:ds="http://schemas.openxmlformats.org/officeDocument/2006/customXml" ds:itemID="{EC9372CB-C6C1-477C-B11F-4703DC22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2264</Words>
  <Characters>13588</Characters>
  <Application>Microsoft Office Word</Application>
  <DocSecurity>4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cp:lastModifiedBy>Wilk Justyna</cp:lastModifiedBy>
  <cp:revision>2</cp:revision>
  <cp:lastPrinted>2022-05-31T12:37:00Z</cp:lastPrinted>
  <dcterms:created xsi:type="dcterms:W3CDTF">2023-06-14T09:21:00Z</dcterms:created>
  <dcterms:modified xsi:type="dcterms:W3CDTF">2023-06-14T09:21:00Z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0x010100A034FC21984022419F3584ECAEC38939</vt:lpwstr>
  </property>
  <property fmtid="{D5CDD505-2E9C-101B-9397-08002B2CF9AE}" pid="3" name="MediaServiceImageTags">
    <vt:lpwstr/>
  </property>
</Properties>
</file>